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BFCA" w14:textId="77777777" w:rsidR="00055423" w:rsidRDefault="00000000">
      <w:pPr>
        <w:keepNext/>
        <w:spacing w:before="200" w:after="380" w:line="271" w:lineRule="auto"/>
        <w:ind w:firstLine="0"/>
        <w:jc w:val="center"/>
      </w:pPr>
      <w:r>
        <w:rPr>
          <w:rFonts w:eastAsia="Times New Roman"/>
          <w:b/>
        </w:rPr>
        <w:t>Списак тема за дипломске радове за школску 2026/2027.</w:t>
      </w:r>
    </w:p>
    <w:p w14:paraId="4E986A52" w14:textId="77777777" w:rsidR="00055423" w:rsidRDefault="00000000">
      <w:pPr>
        <w:keepNext/>
        <w:spacing w:before="80" w:after="260" w:line="271" w:lineRule="auto"/>
        <w:ind w:firstLine="0"/>
        <w:jc w:val="center"/>
      </w:pPr>
      <w:r>
        <w:rPr>
          <w:rFonts w:eastAsia="Times New Roman"/>
          <w:b/>
        </w:rPr>
        <w:t>СТОМАТОЛОГИЈА</w:t>
      </w:r>
    </w:p>
    <w:p w14:paraId="48339FA2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Гнатологија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206F2F9A" w14:textId="77777777">
        <w:trPr>
          <w:cantSplit/>
          <w:jc w:val="center"/>
        </w:trPr>
        <w:tc>
          <w:tcPr>
            <w:tcW w:w="864" w:type="dxa"/>
          </w:tcPr>
          <w:p w14:paraId="7F7FED81" w14:textId="77777777" w:rsidR="00055423" w:rsidRDefault="00000000">
            <w:pPr>
              <w:spacing w:line="271" w:lineRule="auto"/>
              <w:ind w:firstLine="0"/>
              <w:jc w:val="center"/>
            </w:pPr>
            <w:r>
              <w:rPr>
                <w:rFonts w:eastAsia="Times New Roman"/>
                <w:b/>
                <w:sz w:val="21"/>
              </w:rPr>
              <w:t>Р.бр.</w:t>
            </w:r>
          </w:p>
        </w:tc>
        <w:tc>
          <w:tcPr>
            <w:tcW w:w="8640" w:type="dxa"/>
          </w:tcPr>
          <w:p w14:paraId="69C75E07" w14:textId="77777777" w:rsidR="00055423" w:rsidRDefault="00000000">
            <w:pPr>
              <w:spacing w:line="271" w:lineRule="auto"/>
              <w:ind w:firstLine="0"/>
              <w:jc w:val="center"/>
            </w:pPr>
            <w:r>
              <w:rPr>
                <w:rFonts w:eastAsia="Times New Roman"/>
                <w:b/>
                <w:sz w:val="21"/>
              </w:rPr>
              <w:t>Назив теме</w:t>
            </w:r>
          </w:p>
        </w:tc>
      </w:tr>
      <w:tr w:rsidR="00055423" w14:paraId="14E648D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481E07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658E086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Дијагностика и терапија нефизиолошке оклузије</w:t>
            </w:r>
          </w:p>
        </w:tc>
      </w:tr>
      <w:tr w:rsidR="00055423" w14:paraId="0FBDA66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184402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299D39C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Граничне кретње мандибуле и њихов значај у дијагностици оклузије</w:t>
            </w:r>
          </w:p>
        </w:tc>
      </w:tr>
      <w:tr w:rsidR="00055423" w14:paraId="6CF0F80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9A5E94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CF423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Функцијске кретње мандибуле и њихов значај за оклузалну хармонију</w:t>
            </w:r>
          </w:p>
        </w:tc>
      </w:tr>
      <w:tr w:rsidR="00055423" w14:paraId="46973DB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368AD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11E2D87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Клиничка анализа оклузије и њен значај у савременој стоматолошкој пракси</w:t>
            </w:r>
          </w:p>
        </w:tc>
      </w:tr>
      <w:tr w:rsidR="00055423" w14:paraId="3D83AC3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326C82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71D96EF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Примена артикулатора средњих вредности у планирању протетске терапије</w:t>
            </w:r>
          </w:p>
        </w:tc>
      </w:tr>
    </w:tbl>
    <w:p w14:paraId="7F7183FA" w14:textId="77777777" w:rsidR="00055423" w:rsidRDefault="00055423">
      <w:pPr>
        <w:spacing w:line="271" w:lineRule="auto"/>
        <w:ind w:firstLine="0"/>
      </w:pPr>
    </w:p>
    <w:p w14:paraId="40E10628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Орална хирургија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46B9203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3B5FB9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47814EC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Оралнохируршки аспекти фацијалног бола</w:t>
            </w:r>
          </w:p>
        </w:tc>
      </w:tr>
      <w:tr w:rsidR="00055423" w14:paraId="0399FC6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715764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1D66962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Примењена хируршка анатомија орофацијалне регије</w:t>
            </w:r>
          </w:p>
        </w:tc>
      </w:tr>
      <w:tr w:rsidR="00055423" w14:paraId="6CAAAB4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575C1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5184BF4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Оралнохируршки третман кардиоваскуларних болесника</w:t>
            </w:r>
          </w:p>
        </w:tc>
      </w:tr>
      <w:tr w:rsidR="00055423" w14:paraId="064EDE2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A79D49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5EDE041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Дентоалвеоларна хирургија</w:t>
            </w:r>
          </w:p>
        </w:tc>
      </w:tr>
      <w:tr w:rsidR="00055423" w14:paraId="26BBD8D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AACB60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6ECF6E0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Вађење зуба</w:t>
            </w:r>
          </w:p>
        </w:tc>
      </w:tr>
      <w:tr w:rsidR="00055423" w14:paraId="2E79450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F7A2D5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5D29FA6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Инфламаторне цисте вилица</w:t>
            </w:r>
          </w:p>
        </w:tc>
      </w:tr>
      <w:tr w:rsidR="00055423" w14:paraId="55DC59C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D59C2B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778F773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Оралнохируршке процедуре код неправилности меких ткива усне дупље</w:t>
            </w:r>
          </w:p>
        </w:tc>
      </w:tr>
      <w:tr w:rsidR="00055423" w14:paraId="22AEF19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16C41E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3129911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Оралнохируршки третман неуролошких болесника</w:t>
            </w:r>
          </w:p>
        </w:tc>
      </w:tr>
      <w:tr w:rsidR="00055423" w14:paraId="07047E7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C77574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795D2FE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Дентогене компликације максиларног синуса</w:t>
            </w:r>
          </w:p>
        </w:tc>
      </w:tr>
      <w:tr w:rsidR="00055423" w14:paraId="11C0B1D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274518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5369828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Локална анестезија у оралној хирургији</w:t>
            </w:r>
          </w:p>
        </w:tc>
      </w:tr>
    </w:tbl>
    <w:p w14:paraId="287314D8" w14:textId="77777777" w:rsidR="00055423" w:rsidRDefault="00055423">
      <w:pPr>
        <w:spacing w:line="271" w:lineRule="auto"/>
        <w:ind w:firstLine="0"/>
      </w:pPr>
    </w:p>
    <w:p w14:paraId="61F35B7D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Орална медицина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7D98285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009AD0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1E3F4DC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Заштитни механизми усне дупље</w:t>
            </w:r>
          </w:p>
        </w:tc>
      </w:tr>
      <w:tr w:rsidR="00055423" w14:paraId="0527782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150189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8CB953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Крвне болести и уста</w:t>
            </w:r>
          </w:p>
        </w:tc>
      </w:tr>
      <w:tr w:rsidR="00055423" w14:paraId="6A06EE6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63A4E7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15E0BED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Оралне промене код витаминског дефицита</w:t>
            </w:r>
          </w:p>
        </w:tc>
      </w:tr>
      <w:tr w:rsidR="00055423" w14:paraId="1E9F67A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6F43E7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030CD6F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Геронтостоматологија</w:t>
            </w:r>
          </w:p>
        </w:tc>
      </w:tr>
      <w:tr w:rsidR="00055423" w14:paraId="4808B13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457FB5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1E51ED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Алергијске реакције у усној дупљи</w:t>
            </w:r>
          </w:p>
        </w:tc>
      </w:tr>
      <w:tr w:rsidR="00055423" w14:paraId="465FF4B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084089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344B434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Ефлоресценце оралне слузокоже</w:t>
            </w:r>
          </w:p>
        </w:tc>
      </w:tr>
      <w:tr w:rsidR="00055423" w14:paraId="36FDD4E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A3D1EF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45D928C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Рекурентне оралне улцерације</w:t>
            </w:r>
          </w:p>
        </w:tc>
      </w:tr>
      <w:tr w:rsidR="00055423" w14:paraId="32029E8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2DD526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3FAEDA8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Кожне болести у устима</w:t>
            </w:r>
          </w:p>
        </w:tc>
      </w:tr>
      <w:tr w:rsidR="00055423" w14:paraId="2EA5BB4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989467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1261026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Ендокрини поремећаји и болести уста</w:t>
            </w:r>
          </w:p>
        </w:tc>
      </w:tr>
      <w:tr w:rsidR="00055423" w14:paraId="57E3C90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70D68E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487F54C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Орална жаришта и консекутивна обољења</w:t>
            </w:r>
          </w:p>
        </w:tc>
      </w:tr>
    </w:tbl>
    <w:p w14:paraId="58A40BFA" w14:textId="77777777" w:rsidR="00055423" w:rsidRDefault="00055423">
      <w:pPr>
        <w:spacing w:line="271" w:lineRule="auto"/>
        <w:ind w:firstLine="0"/>
      </w:pPr>
    </w:p>
    <w:p w14:paraId="286C4805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lastRenderedPageBreak/>
        <w:t>Стоматолошка протетика клиника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269DD3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D13A54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6E8DAA44" w14:textId="77777777" w:rsidR="00055423" w:rsidRDefault="00000000">
            <w:pPr>
              <w:keepLines/>
              <w:spacing w:line="271" w:lineRule="auto"/>
              <w:ind w:firstLine="0"/>
              <w:rPr>
                <w:rFonts w:eastAsia="Times New Roman"/>
                <w:sz w:val="21"/>
              </w:rPr>
            </w:pPr>
            <w:r>
              <w:rPr>
                <w:rFonts w:eastAsia="Times New Roman"/>
                <w:sz w:val="21"/>
              </w:rPr>
              <w:t xml:space="preserve">Привремене фиксне протетске надокнаде – значај, </w:t>
            </w:r>
            <w:proofErr w:type="spellStart"/>
            <w:r>
              <w:rPr>
                <w:rFonts w:eastAsia="Times New Roman"/>
                <w:sz w:val="21"/>
              </w:rPr>
              <w:t>индикације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израде</w:t>
            </w:r>
            <w:proofErr w:type="spellEnd"/>
          </w:p>
          <w:p w14:paraId="18F4F405" w14:textId="77777777" w:rsidR="00E471C1" w:rsidRPr="00E471C1" w:rsidRDefault="00E471C1" w:rsidP="00E471C1"/>
          <w:p w14:paraId="55B7ACB7" w14:textId="77777777" w:rsidR="00E471C1" w:rsidRPr="00E471C1" w:rsidRDefault="00E471C1" w:rsidP="00E471C1"/>
        </w:tc>
      </w:tr>
      <w:tr w:rsidR="00055423" w14:paraId="23A8A70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25887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4DCC83A8" w14:textId="77777777" w:rsidR="00055423" w:rsidRDefault="00000000">
            <w:pPr>
              <w:keepLines/>
              <w:spacing w:line="271" w:lineRule="auto"/>
              <w:ind w:firstLine="0"/>
              <w:rPr>
                <w:rFonts w:eastAsia="Times New Roman"/>
                <w:sz w:val="21"/>
              </w:rPr>
            </w:pPr>
            <w:r>
              <w:rPr>
                <w:rFonts w:eastAsia="Times New Roman"/>
                <w:sz w:val="21"/>
              </w:rPr>
              <w:t xml:space="preserve">Принципи избора и поставе вештачких </w:t>
            </w:r>
            <w:proofErr w:type="spellStart"/>
            <w:r>
              <w:rPr>
                <w:rFonts w:eastAsia="Times New Roman"/>
                <w:sz w:val="21"/>
              </w:rPr>
              <w:t>зуба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протеза</w:t>
            </w:r>
            <w:proofErr w:type="spellEnd"/>
          </w:p>
          <w:p w14:paraId="09412803" w14:textId="77777777" w:rsidR="00E471C1" w:rsidRPr="00E471C1" w:rsidRDefault="00E471C1" w:rsidP="00E471C1"/>
        </w:tc>
      </w:tr>
      <w:tr w:rsidR="00055423" w14:paraId="314147F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81B6F6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F8DE2C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Оклузални концепти у планирању и изради протетских надокнада</w:t>
            </w:r>
          </w:p>
        </w:tc>
      </w:tr>
      <w:tr w:rsidR="00055423" w14:paraId="518D7EB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07231E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27F0879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Телескоп круне у терапији комплексним парцијалним протезама</w:t>
            </w:r>
          </w:p>
        </w:tc>
      </w:tr>
      <w:tr w:rsidR="00055423" w14:paraId="17CB405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C42554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57CE13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Принципи ретенције и стабилизације парцијалних протеза</w:t>
            </w:r>
          </w:p>
        </w:tc>
      </w:tr>
      <w:tr w:rsidR="00055423" w14:paraId="2E56187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B7129D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6F5F192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Методе заштите брушених зуба током фикснопротетске терапије</w:t>
            </w:r>
          </w:p>
        </w:tc>
      </w:tr>
      <w:tr w:rsidR="00055423" w14:paraId="0CDE29C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7F622F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78A92A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Специфични облици тоталних протеза и њихове клиничке индикације</w:t>
            </w:r>
          </w:p>
        </w:tc>
      </w:tr>
      <w:tr w:rsidR="00055423" w14:paraId="3B977BE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1F60B9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172683B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Примена паралелометра у планирању и изради протетских надокнада</w:t>
            </w:r>
          </w:p>
        </w:tc>
      </w:tr>
      <w:tr w:rsidR="00055423" w14:paraId="281B569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D798C9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7B13226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Савремени принципи и поступци цементирања фиксних протетских надокнада</w:t>
            </w:r>
          </w:p>
        </w:tc>
      </w:tr>
      <w:tr w:rsidR="00055423" w14:paraId="2FB47C7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BD650F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27EC4F8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Значај правилних оклузалних односа у протетској рехабилитацији</w:t>
            </w:r>
          </w:p>
        </w:tc>
      </w:tr>
    </w:tbl>
    <w:p w14:paraId="3A178319" w14:textId="77777777" w:rsidR="00055423" w:rsidRDefault="00055423">
      <w:pPr>
        <w:spacing w:line="271" w:lineRule="auto"/>
        <w:ind w:firstLine="0"/>
      </w:pPr>
    </w:p>
    <w:p w14:paraId="330D33D2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Превентивна стоматологија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5DE3D5C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C89BBA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6AF1EB7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Превенција и профилакса оралних обољења трудница.</w:t>
            </w:r>
          </w:p>
        </w:tc>
      </w:tr>
      <w:tr w:rsidR="00055423" w14:paraId="54DF7E5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88C219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2F039A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Предиспонирајући фактори за настанак повреда и могућности превенције повреда уста и зуба у деце.</w:t>
            </w:r>
          </w:p>
        </w:tc>
      </w:tr>
      <w:tr w:rsidR="00055423" w14:paraId="483EDBE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CFE0FC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59AFCC5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Утицај исхране на развој каријеса код деце.</w:t>
            </w:r>
          </w:p>
        </w:tc>
      </w:tr>
      <w:tr w:rsidR="00055423" w14:paraId="3EA2C8B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E88076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3390373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Савремене стратегије у превенцији каријеса у раном детињству.</w:t>
            </w:r>
          </w:p>
        </w:tc>
      </w:tr>
      <w:tr w:rsidR="00055423" w14:paraId="1354D12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5FAF3D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076A47E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Дијагностика ризика за појаву оралних болести.</w:t>
            </w:r>
          </w:p>
        </w:tc>
      </w:tr>
    </w:tbl>
    <w:p w14:paraId="37E92235" w14:textId="77777777" w:rsidR="00055423" w:rsidRDefault="00055423">
      <w:pPr>
        <w:spacing w:line="271" w:lineRule="auto"/>
        <w:ind w:firstLine="0"/>
      </w:pPr>
    </w:p>
    <w:p w14:paraId="05D21EF4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Клиничка ендодонција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4499047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8FA25F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5F9079A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Могућности ендодонтског лечења ендо-пародонталних лезија.</w:t>
            </w:r>
          </w:p>
        </w:tc>
      </w:tr>
      <w:tr w:rsidR="00055423" w14:paraId="744E9AE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D4C43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31B47DE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Ендодонтски материјали за пуњење канала корена.</w:t>
            </w:r>
          </w:p>
        </w:tc>
      </w:tr>
      <w:tr w:rsidR="00055423" w14:paraId="1166F22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69A3CA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616BD3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Акцидентална оштећења пулпе зуба</w:t>
            </w:r>
          </w:p>
        </w:tc>
      </w:tr>
      <w:tr w:rsidR="00055423" w14:paraId="70A4B9F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5649AF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6F998C3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Технике оптурације канала корена зуба</w:t>
            </w:r>
          </w:p>
        </w:tc>
      </w:tr>
      <w:tr w:rsidR="00055423" w14:paraId="321F7C0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A7F74D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06B3931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Улога бактерија у патогенези апексних пародонтита.</w:t>
            </w:r>
          </w:p>
        </w:tc>
      </w:tr>
      <w:tr w:rsidR="00055423" w14:paraId="5DE36B1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CE4FC3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77ADB41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Морфо-физиолошка повезаност ендодонта и пародонта.</w:t>
            </w:r>
          </w:p>
        </w:tc>
      </w:tr>
      <w:tr w:rsidR="00055423" w14:paraId="6633802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88F3D5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2A32495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Компликације ендодонског лечења</w:t>
            </w:r>
          </w:p>
        </w:tc>
      </w:tr>
      <w:tr w:rsidR="00055423" w14:paraId="44A7214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0C8BFF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107A735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Интраканална медикација инфицираног каналног система</w:t>
            </w:r>
          </w:p>
        </w:tc>
      </w:tr>
      <w:tr w:rsidR="00055423" w14:paraId="67C0FC8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AB375E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31BE2C9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Некрозе, некробиозе и гангрене пулпе</w:t>
            </w:r>
          </w:p>
        </w:tc>
      </w:tr>
      <w:tr w:rsidR="00055423" w14:paraId="2E7EF2A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1A5EF2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05D3EED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Апексна матрица, цурење и пропустљивост дентина</w:t>
            </w:r>
          </w:p>
        </w:tc>
      </w:tr>
    </w:tbl>
    <w:p w14:paraId="572F686D" w14:textId="77777777" w:rsidR="00055423" w:rsidRDefault="00055423">
      <w:pPr>
        <w:spacing w:line="271" w:lineRule="auto"/>
        <w:ind w:firstLine="0"/>
      </w:pPr>
    </w:p>
    <w:p w14:paraId="50C5F82F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Орална имплантологија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65A5B2D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5CF141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0441A6B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Индикације и контраиндикације за уградњу денталних имплантата</w:t>
            </w:r>
          </w:p>
        </w:tc>
      </w:tr>
      <w:tr w:rsidR="00055423" w14:paraId="0432B3B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0C9CAD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7876E4C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Техника уградње денталних имплантата</w:t>
            </w:r>
          </w:p>
        </w:tc>
      </w:tr>
      <w:tr w:rsidR="00055423" w14:paraId="245F0D03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825CAE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4CE5BBB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Протетске надокнаде на имплантатима</w:t>
            </w:r>
          </w:p>
        </w:tc>
      </w:tr>
      <w:tr w:rsidR="00055423" w14:paraId="49E6C93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D82E20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51266B1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Компликације у имплантологији</w:t>
            </w:r>
          </w:p>
        </w:tc>
      </w:tr>
      <w:tr w:rsidR="00055423" w14:paraId="79BC5A5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5C117F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lastRenderedPageBreak/>
              <w:t>5.</w:t>
            </w:r>
          </w:p>
        </w:tc>
        <w:tc>
          <w:tcPr>
            <w:tcW w:w="8640" w:type="dxa"/>
            <w:vAlign w:val="center"/>
          </w:tcPr>
          <w:p w14:paraId="4BC2582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Вођена коштана регенерација</w:t>
            </w:r>
          </w:p>
        </w:tc>
      </w:tr>
    </w:tbl>
    <w:p w14:paraId="49E349DF" w14:textId="77777777" w:rsidR="00055423" w:rsidRDefault="00055423">
      <w:pPr>
        <w:spacing w:line="271" w:lineRule="auto"/>
        <w:ind w:firstLine="0"/>
      </w:pPr>
    </w:p>
    <w:p w14:paraId="2F95D0BF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Рестауративна одонтологија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FE74F8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175F5F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456A08F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Гласјономери и њихова примена у рестауративној стоматологији.</w:t>
            </w:r>
          </w:p>
        </w:tc>
      </w:tr>
      <w:tr w:rsidR="00055423" w14:paraId="572BECB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7E2359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7C2FF73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Могуће грешке у клиничкој пракси при раду са композитним материјалима.</w:t>
            </w:r>
          </w:p>
        </w:tc>
      </w:tr>
      <w:tr w:rsidR="00055423" w14:paraId="453D39C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B26274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11BE1BC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Протокол ендодонтске терапије инфицираног канала корена зуба</w:t>
            </w:r>
          </w:p>
        </w:tc>
      </w:tr>
      <w:tr w:rsidR="00055423" w14:paraId="4BF1371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8DD500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3D539E6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Прекривање артефицијално отворене пулпе</w:t>
            </w:r>
          </w:p>
        </w:tc>
      </w:tr>
      <w:tr w:rsidR="00055423" w14:paraId="41A637A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FDBBE2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2C1BCD7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Некариозна оштећења зуба и аномалије глеђи и дентина</w:t>
            </w:r>
          </w:p>
        </w:tc>
      </w:tr>
      <w:tr w:rsidR="00055423" w14:paraId="7A913E2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0B1F15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6583564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Значај апексног микроцурења и пропустљивости дентина.</w:t>
            </w:r>
          </w:p>
        </w:tc>
      </w:tr>
      <w:tr w:rsidR="00055423" w14:paraId="3FD4920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109402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4AEEA2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Атрофије и дегенерације пулпе</w:t>
            </w:r>
          </w:p>
        </w:tc>
      </w:tr>
      <w:tr w:rsidR="00055423" w14:paraId="55878FB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8F1EEC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54622DE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Бол у орофацијалној регији</w:t>
            </w:r>
          </w:p>
        </w:tc>
      </w:tr>
      <w:tr w:rsidR="00055423" w14:paraId="1611EF6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CA164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6695A61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Биолошке методе лечења пулпе</w:t>
            </w:r>
          </w:p>
        </w:tc>
      </w:tr>
      <w:tr w:rsidR="00055423" w14:paraId="1A22852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9198EC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7487D5D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Средства за иригацију канала корена зуба</w:t>
            </w:r>
          </w:p>
        </w:tc>
      </w:tr>
    </w:tbl>
    <w:p w14:paraId="3959DA24" w14:textId="77777777" w:rsidR="00055423" w:rsidRDefault="00055423">
      <w:pPr>
        <w:spacing w:line="271" w:lineRule="auto"/>
        <w:ind w:firstLine="0"/>
      </w:pPr>
    </w:p>
    <w:p w14:paraId="471275CA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Ортопедија вилица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DD2656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A3D90A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16E2974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Постнатални развој краниофацијалног система</w:t>
            </w:r>
          </w:p>
        </w:tc>
      </w:tr>
      <w:tr w:rsidR="00055423" w14:paraId="46BAC93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B87BA8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10C0F7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Функције орофацијалног система и њихов значај за правилан развој вилица и зуба</w:t>
            </w:r>
          </w:p>
        </w:tc>
      </w:tr>
      <w:tr w:rsidR="00055423" w14:paraId="4F0AB689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6C6DDB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1633748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Расцепи усне и непца и могућности терапије</w:t>
            </w:r>
          </w:p>
        </w:tc>
      </w:tr>
      <w:tr w:rsidR="00055423" w14:paraId="73004C0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9098EE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2EBBBAF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Вертикалне неправилности у оклузији</w:t>
            </w:r>
          </w:p>
        </w:tc>
      </w:tr>
      <w:tr w:rsidR="00055423" w14:paraId="1E62F96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D72830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5D18E05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Специфичности рендген дијагностике у ортопедији вилица</w:t>
            </w:r>
          </w:p>
        </w:tc>
      </w:tr>
      <w:tr w:rsidR="00055423" w14:paraId="2F3F147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6073D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6EDCFF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Импактирани зуби</w:t>
            </w:r>
          </w:p>
        </w:tc>
      </w:tr>
      <w:tr w:rsidR="00055423" w14:paraId="2875A5C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2020C3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439AE5F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Екстракциона терапија</w:t>
            </w:r>
          </w:p>
        </w:tc>
      </w:tr>
      <w:tr w:rsidR="00055423" w14:paraId="6DBECDA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46583B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057B7ED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Тескоба зубних низова: узроци и последице</w:t>
            </w:r>
          </w:p>
        </w:tc>
      </w:tr>
      <w:tr w:rsidR="00055423" w14:paraId="5E87AC1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BE3A88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77C5137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Хиподонције</w:t>
            </w:r>
          </w:p>
        </w:tc>
      </w:tr>
      <w:tr w:rsidR="00055423" w14:paraId="30F5D0B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5E0F61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724DE27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Ортодонтска терапија одраслих пацијената</w:t>
            </w:r>
          </w:p>
        </w:tc>
      </w:tr>
    </w:tbl>
    <w:p w14:paraId="6154BC18" w14:textId="77777777" w:rsidR="00055423" w:rsidRDefault="00055423">
      <w:pPr>
        <w:spacing w:line="271" w:lineRule="auto"/>
        <w:ind w:firstLine="0"/>
      </w:pPr>
    </w:p>
    <w:p w14:paraId="0AC0C6BB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Пародонтологија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4C2BD27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094978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7F85D43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Дијагноза обољења парадонта</w:t>
            </w:r>
          </w:p>
        </w:tc>
      </w:tr>
      <w:tr w:rsidR="00055423" w14:paraId="1DE10EF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8371DB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57CC01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Индекси за утврђивања стања пародонцијума</w:t>
            </w:r>
          </w:p>
        </w:tc>
      </w:tr>
      <w:tr w:rsidR="00055423" w14:paraId="5EC19B3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E06E0F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48F0F3B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Гингивитиси</w:t>
            </w:r>
          </w:p>
        </w:tc>
      </w:tr>
      <w:tr w:rsidR="00055423" w14:paraId="60CFCF10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46CD65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1E66978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Орална имплантологија</w:t>
            </w:r>
          </w:p>
        </w:tc>
      </w:tr>
      <w:tr w:rsidR="00055423" w14:paraId="585A423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F477B6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1456933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Хронична пародонтопатија</w:t>
            </w:r>
          </w:p>
        </w:tc>
      </w:tr>
      <w:tr w:rsidR="00055423" w14:paraId="35F251A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9AA989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40AC883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Дентални плак</w:t>
            </w:r>
          </w:p>
        </w:tc>
      </w:tr>
      <w:tr w:rsidR="00055423" w14:paraId="1A3ACDC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C33BCA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57D8261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Хируршка терапија пародонтопатије</w:t>
            </w:r>
          </w:p>
        </w:tc>
      </w:tr>
      <w:tr w:rsidR="00055423" w14:paraId="0E87C49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CF5EBD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6165840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Медикаментозна терапија пародонтопатије</w:t>
            </w:r>
          </w:p>
        </w:tc>
      </w:tr>
      <w:tr w:rsidR="00055423" w14:paraId="560D695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98E5F0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35DF640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Примена ласера у оралној медицини и пародонтологији</w:t>
            </w:r>
          </w:p>
        </w:tc>
      </w:tr>
      <w:tr w:rsidR="00055423" w14:paraId="24BA5EA7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B8FE22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39E5174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Селективно брушење</w:t>
            </w:r>
          </w:p>
        </w:tc>
      </w:tr>
    </w:tbl>
    <w:p w14:paraId="1CCDE312" w14:textId="77777777" w:rsidR="00055423" w:rsidRDefault="00055423">
      <w:pPr>
        <w:spacing w:line="271" w:lineRule="auto"/>
        <w:ind w:firstLine="0"/>
      </w:pPr>
    </w:p>
    <w:p w14:paraId="218CD812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lastRenderedPageBreak/>
        <w:t>Дечја стоматологија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B37FF4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349FCA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386EBC3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Психолошки аспекти у стоматолошком третману детета.</w:t>
            </w:r>
          </w:p>
        </w:tc>
      </w:tr>
      <w:tr w:rsidR="00055423" w14:paraId="2DE2537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E49D49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716E41E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Савремена дијагностика почетне каријесне лезије.</w:t>
            </w:r>
          </w:p>
        </w:tc>
      </w:tr>
      <w:tr w:rsidR="00055423" w14:paraId="08E85225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EA7F5E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6C90C52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Савремени протоколи за третман луксираних и авулзираних зуба код деце.</w:t>
            </w:r>
          </w:p>
        </w:tc>
      </w:tr>
      <w:tr w:rsidR="00055423" w14:paraId="5233CD7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3A41B59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59BA113A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Неинвазивна терапија иницијалне каријесне лезије.</w:t>
            </w:r>
          </w:p>
        </w:tc>
      </w:tr>
      <w:tr w:rsidR="00055423" w14:paraId="0FC3158D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85F121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62451853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Савремени приступи у терапији младих сталних зуба.</w:t>
            </w:r>
          </w:p>
        </w:tc>
      </w:tr>
      <w:tr w:rsidR="00055423" w14:paraId="67B27A7B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A1E7D31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0EB598C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Протетско збрињавање деце и адолесцената</w:t>
            </w:r>
          </w:p>
        </w:tc>
      </w:tr>
      <w:tr w:rsidR="00055423" w14:paraId="149A825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4511B45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53418BB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Употреба биокомпатибилних материјала у третману трауматских повреда зуба.</w:t>
            </w:r>
          </w:p>
        </w:tc>
      </w:tr>
      <w:tr w:rsidR="00055423" w14:paraId="5B0695C8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688062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2B619E6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Вирусне инфекције у устима деце.</w:t>
            </w:r>
          </w:p>
        </w:tc>
      </w:tr>
      <w:tr w:rsidR="00055423" w14:paraId="0045B2F4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6ACF49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640" w:type="dxa"/>
            <w:vAlign w:val="center"/>
          </w:tcPr>
          <w:p w14:paraId="54313EDE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Оралне манифестације системских обољења у деце.</w:t>
            </w:r>
          </w:p>
        </w:tc>
      </w:tr>
      <w:tr w:rsidR="00055423" w14:paraId="2B9A9F8E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0CEEE820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640" w:type="dxa"/>
            <w:vAlign w:val="center"/>
          </w:tcPr>
          <w:p w14:paraId="444BD0E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Стоматолошки материјали у дечјој стоматологији.</w:t>
            </w:r>
          </w:p>
        </w:tc>
      </w:tr>
    </w:tbl>
    <w:p w14:paraId="65E7CD1F" w14:textId="77777777" w:rsidR="00055423" w:rsidRDefault="00055423">
      <w:pPr>
        <w:spacing w:line="271" w:lineRule="auto"/>
        <w:ind w:firstLine="0"/>
      </w:pPr>
    </w:p>
    <w:p w14:paraId="08B5037E" w14:textId="77777777" w:rsidR="00055423" w:rsidRDefault="00000000">
      <w:pPr>
        <w:keepNext/>
        <w:spacing w:before="280" w:after="140" w:line="271" w:lineRule="auto"/>
        <w:ind w:firstLine="0"/>
      </w:pPr>
      <w:r>
        <w:rPr>
          <w:rFonts w:eastAsia="Times New Roman"/>
          <w:b/>
          <w:sz w:val="22"/>
        </w:rPr>
        <w:t>Максилофацијална хирургија</w:t>
      </w:r>
    </w:p>
    <w:tbl>
      <w:tblPr>
        <w:tblW w:w="0" w:type="auto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8640"/>
      </w:tblGrid>
      <w:tr w:rsidR="00055423" w14:paraId="0E4802EF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353BB7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640" w:type="dxa"/>
            <w:vAlign w:val="center"/>
          </w:tcPr>
          <w:p w14:paraId="5E4B6AA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Инфекција меких ткива лица</w:t>
            </w:r>
          </w:p>
        </w:tc>
      </w:tr>
      <w:tr w:rsidR="00055423" w14:paraId="40E87A6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7BA53202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640" w:type="dxa"/>
            <w:vAlign w:val="center"/>
          </w:tcPr>
          <w:p w14:paraId="0B7C76DC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Цисте вилица</w:t>
            </w:r>
          </w:p>
        </w:tc>
      </w:tr>
      <w:tr w:rsidR="00055423" w14:paraId="3982F20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31ACF99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640" w:type="dxa"/>
            <w:vAlign w:val="center"/>
          </w:tcPr>
          <w:p w14:paraId="53F001D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Одонтогени тумори</w:t>
            </w:r>
          </w:p>
        </w:tc>
      </w:tr>
      <w:tr w:rsidR="00055423" w14:paraId="73F33476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F8C432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640" w:type="dxa"/>
            <w:vAlign w:val="center"/>
          </w:tcPr>
          <w:p w14:paraId="72F9CB25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Преломи горње вилице</w:t>
            </w:r>
          </w:p>
        </w:tc>
      </w:tr>
      <w:tr w:rsidR="00055423" w14:paraId="0C4A2692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543093F8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640" w:type="dxa"/>
            <w:vAlign w:val="center"/>
          </w:tcPr>
          <w:p w14:paraId="66A969BB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Расцепи примарног и секундарног палатума</w:t>
            </w:r>
          </w:p>
        </w:tc>
      </w:tr>
      <w:tr w:rsidR="00055423" w14:paraId="6DFD4EEA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13B65747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640" w:type="dxa"/>
            <w:vAlign w:val="center"/>
          </w:tcPr>
          <w:p w14:paraId="553F0706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Обољења максиларног синуса</w:t>
            </w:r>
          </w:p>
        </w:tc>
      </w:tr>
      <w:tr w:rsidR="00055423" w14:paraId="1B60A4FC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29C949C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640" w:type="dxa"/>
            <w:vAlign w:val="center"/>
          </w:tcPr>
          <w:p w14:paraId="2A1FA744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Обољења темпоромандибуларног зглоба</w:t>
            </w:r>
          </w:p>
        </w:tc>
      </w:tr>
      <w:tr w:rsidR="00055423" w14:paraId="39952281" w14:textId="77777777">
        <w:trPr>
          <w:cantSplit/>
          <w:jc w:val="center"/>
        </w:trPr>
        <w:tc>
          <w:tcPr>
            <w:tcW w:w="864" w:type="dxa"/>
            <w:vAlign w:val="center"/>
          </w:tcPr>
          <w:p w14:paraId="65A623BF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640" w:type="dxa"/>
            <w:vAlign w:val="center"/>
          </w:tcPr>
          <w:p w14:paraId="31B64C2D" w14:textId="77777777" w:rsidR="00055423" w:rsidRDefault="00000000">
            <w:pPr>
              <w:keepLines/>
              <w:spacing w:line="271" w:lineRule="auto"/>
              <w:ind w:firstLine="0"/>
            </w:pPr>
            <w:r>
              <w:rPr>
                <w:rFonts w:eastAsia="Times New Roman"/>
                <w:sz w:val="21"/>
              </w:rPr>
              <w:t>Саркоми максилофацијалне регије</w:t>
            </w:r>
          </w:p>
        </w:tc>
      </w:tr>
    </w:tbl>
    <w:p w14:paraId="295985A2" w14:textId="77777777" w:rsidR="00055423" w:rsidRDefault="00055423">
      <w:pPr>
        <w:spacing w:line="271" w:lineRule="auto"/>
        <w:ind w:firstLine="0"/>
      </w:pPr>
    </w:p>
    <w:sectPr w:rsidR="00055423" w:rsidSect="00BC1BC6">
      <w:pgSz w:w="12240" w:h="15840"/>
      <w:pgMar w:top="1374" w:right="1340" w:bottom="1380" w:left="1320" w:header="0" w:footer="10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97F7F" w14:textId="77777777" w:rsidR="00DE3787" w:rsidRDefault="00DE3787">
      <w:r>
        <w:separator/>
      </w:r>
    </w:p>
  </w:endnote>
  <w:endnote w:type="continuationSeparator" w:id="0">
    <w:p w14:paraId="1B61EE21" w14:textId="77777777" w:rsidR="00DE3787" w:rsidRDefault="00DE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1CD90" w14:textId="77777777" w:rsidR="00DE3787" w:rsidRDefault="00DE3787">
      <w:r>
        <w:separator/>
      </w:r>
    </w:p>
  </w:footnote>
  <w:footnote w:type="continuationSeparator" w:id="0">
    <w:p w14:paraId="00C1A574" w14:textId="77777777" w:rsidR="00DE3787" w:rsidRDefault="00DE3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35EF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" w15:restartNumberingAfterBreak="0">
    <w:nsid w:val="13E90E8F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14A47925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 w15:restartNumberingAfterBreak="0">
    <w:nsid w:val="28D527C6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4" w15:restartNumberingAfterBreak="0">
    <w:nsid w:val="66D84905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6F8223A2"/>
    <w:multiLevelType w:val="hybridMultilevel"/>
    <w:tmpl w:val="B774748E"/>
    <w:lvl w:ilvl="0" w:tplc="67EE9BDC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ind w:left="6504" w:hanging="180"/>
      </w:pPr>
    </w:lvl>
  </w:abstractNum>
  <w:num w:numId="1" w16cid:durableId="35592418">
    <w:abstractNumId w:val="4"/>
  </w:num>
  <w:num w:numId="2" w16cid:durableId="1469007876">
    <w:abstractNumId w:val="2"/>
  </w:num>
  <w:num w:numId="3" w16cid:durableId="800731736">
    <w:abstractNumId w:val="5"/>
  </w:num>
  <w:num w:numId="4" w16cid:durableId="218437996">
    <w:abstractNumId w:val="0"/>
  </w:num>
  <w:num w:numId="5" w16cid:durableId="674193359">
    <w:abstractNumId w:val="3"/>
  </w:num>
  <w:num w:numId="6" w16cid:durableId="2138255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968"/>
    <w:rsid w:val="00014240"/>
    <w:rsid w:val="00047123"/>
    <w:rsid w:val="00047403"/>
    <w:rsid w:val="00055423"/>
    <w:rsid w:val="00065034"/>
    <w:rsid w:val="000E5BD0"/>
    <w:rsid w:val="00155405"/>
    <w:rsid w:val="001B2226"/>
    <w:rsid w:val="001D0CC2"/>
    <w:rsid w:val="001D6F6A"/>
    <w:rsid w:val="001E48FB"/>
    <w:rsid w:val="00207F5C"/>
    <w:rsid w:val="00227B12"/>
    <w:rsid w:val="002968A9"/>
    <w:rsid w:val="002C430B"/>
    <w:rsid w:val="003016E6"/>
    <w:rsid w:val="00307426"/>
    <w:rsid w:val="0031465B"/>
    <w:rsid w:val="00335128"/>
    <w:rsid w:val="003A42F3"/>
    <w:rsid w:val="003D010B"/>
    <w:rsid w:val="0041445A"/>
    <w:rsid w:val="004256FB"/>
    <w:rsid w:val="00503E28"/>
    <w:rsid w:val="005220A4"/>
    <w:rsid w:val="00530B0E"/>
    <w:rsid w:val="0053206D"/>
    <w:rsid w:val="00556184"/>
    <w:rsid w:val="005766F7"/>
    <w:rsid w:val="00583DC8"/>
    <w:rsid w:val="005E6533"/>
    <w:rsid w:val="006140B3"/>
    <w:rsid w:val="00622968"/>
    <w:rsid w:val="006A1BFC"/>
    <w:rsid w:val="006A2A74"/>
    <w:rsid w:val="006B326C"/>
    <w:rsid w:val="006E5E94"/>
    <w:rsid w:val="006E7B0F"/>
    <w:rsid w:val="006F1823"/>
    <w:rsid w:val="00721C0D"/>
    <w:rsid w:val="00734D22"/>
    <w:rsid w:val="007351DF"/>
    <w:rsid w:val="007850C9"/>
    <w:rsid w:val="007A6663"/>
    <w:rsid w:val="007B1250"/>
    <w:rsid w:val="007F73E8"/>
    <w:rsid w:val="0088005F"/>
    <w:rsid w:val="00892E90"/>
    <w:rsid w:val="008B0414"/>
    <w:rsid w:val="008B0996"/>
    <w:rsid w:val="008D0AAF"/>
    <w:rsid w:val="008D1A44"/>
    <w:rsid w:val="008F1D1B"/>
    <w:rsid w:val="0090286A"/>
    <w:rsid w:val="00A42B1B"/>
    <w:rsid w:val="00A524C6"/>
    <w:rsid w:val="00A730B4"/>
    <w:rsid w:val="00AA3C2A"/>
    <w:rsid w:val="00AB744F"/>
    <w:rsid w:val="00AC3444"/>
    <w:rsid w:val="00AD7F7E"/>
    <w:rsid w:val="00AF5048"/>
    <w:rsid w:val="00B06543"/>
    <w:rsid w:val="00B70F1C"/>
    <w:rsid w:val="00B75350"/>
    <w:rsid w:val="00B86743"/>
    <w:rsid w:val="00B96781"/>
    <w:rsid w:val="00B97542"/>
    <w:rsid w:val="00BC1BC6"/>
    <w:rsid w:val="00BD7469"/>
    <w:rsid w:val="00C209D8"/>
    <w:rsid w:val="00C34172"/>
    <w:rsid w:val="00C43996"/>
    <w:rsid w:val="00C50E81"/>
    <w:rsid w:val="00C63537"/>
    <w:rsid w:val="00CD3347"/>
    <w:rsid w:val="00D02096"/>
    <w:rsid w:val="00D13DA6"/>
    <w:rsid w:val="00D21000"/>
    <w:rsid w:val="00D414E1"/>
    <w:rsid w:val="00D74675"/>
    <w:rsid w:val="00DA0491"/>
    <w:rsid w:val="00DE3787"/>
    <w:rsid w:val="00E471C1"/>
    <w:rsid w:val="00E52B9A"/>
    <w:rsid w:val="00E7106A"/>
    <w:rsid w:val="00E82DD9"/>
    <w:rsid w:val="00EC1AA4"/>
    <w:rsid w:val="00F92D49"/>
    <w:rsid w:val="00FA210E"/>
    <w:rsid w:val="00FC0BAE"/>
    <w:rsid w:val="00FC5838"/>
    <w:rsid w:val="00FD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60CFE"/>
  <w15:chartTrackingRefBased/>
  <w15:docId w15:val="{EE002215-6900-4914-8280-1912472E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622968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622968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622968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622968"/>
    <w:rPr>
      <w:rFonts w:ascii="Times New Roman" w:eastAsia="Times New Roman" w:hAnsi="Times New Roman" w:cs="Times New Roman"/>
      <w:kern w:val="0"/>
    </w:rPr>
  </w:style>
  <w:style w:type="paragraph" w:styleId="BodyText">
    <w:name w:val="Body Text"/>
    <w:basedOn w:val="Normal"/>
    <w:link w:val="BodyTextChar"/>
    <w:uiPriority w:val="99"/>
    <w:semiHidden/>
    <w:unhideWhenUsed/>
    <w:rsid w:val="00C50E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50E81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2968A9"/>
    <w:pPr>
      <w:spacing w:after="160" w:line="278" w:lineRule="auto"/>
      <w:ind w:left="720" w:firstLine="0"/>
      <w:contextualSpacing/>
      <w:jc w:val="left"/>
    </w:pPr>
    <w:rPr>
      <w:rFonts w:ascii="Calibri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33</cp:revision>
  <dcterms:created xsi:type="dcterms:W3CDTF">2024-04-11T08:56:00Z</dcterms:created>
  <dcterms:modified xsi:type="dcterms:W3CDTF">2026-10-12T07:52:00Z</dcterms:modified>
</cp:coreProperties>
</file>