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6BFCA" w14:textId="77777777" w:rsidR="00055423" w:rsidRDefault="00000000">
      <w:pPr>
        <w:keepNext/>
        <w:spacing w:before="200" w:after="380" w:line="271" w:lineRule="auto"/>
        <w:ind w:firstLine="0"/>
        <w:jc w:val="center"/>
      </w:pPr>
      <w:r>
        <w:rPr>
          <w:rFonts w:eastAsia="Times New Roman"/>
          <w:b/>
        </w:rPr>
        <w:t>Списак тема за дипломске радове за школску 2026/2027.</w:t>
      </w:r>
    </w:p>
    <w:p w14:paraId="4E986A52" w14:textId="77777777" w:rsidR="00055423" w:rsidRDefault="00000000">
      <w:pPr>
        <w:keepNext/>
        <w:spacing w:before="80" w:after="260" w:line="271" w:lineRule="auto"/>
        <w:ind w:firstLine="0"/>
        <w:jc w:val="center"/>
      </w:pPr>
      <w:r>
        <w:rPr>
          <w:rFonts w:eastAsia="Times New Roman"/>
          <w:b/>
        </w:rPr>
        <w:t>СТОМАТОЛОГИЈА</w:t>
      </w:r>
    </w:p>
    <w:p w14:paraId="48339FA2" w14:textId="77777777" w:rsidR="00055423" w:rsidRDefault="00000000">
      <w:pPr>
        <w:keepNext/>
        <w:spacing w:before="280" w:after="140" w:line="271" w:lineRule="auto"/>
        <w:ind w:firstLine="0"/>
      </w:pPr>
      <w:r>
        <w:rPr>
          <w:rFonts w:eastAsia="Times New Roman"/>
          <w:b/>
          <w:sz w:val="22"/>
        </w:rPr>
        <w:t>Гнатологија</w:t>
      </w:r>
    </w:p>
    <w:tbl>
      <w:tblPr>
        <w:tblW w:w="0" w:type="auto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8640"/>
      </w:tblGrid>
      <w:tr w:rsidR="00055423" w14:paraId="206F2F9A" w14:textId="77777777">
        <w:trPr>
          <w:cantSplit/>
          <w:jc w:val="center"/>
        </w:trPr>
        <w:tc>
          <w:tcPr>
            <w:tcW w:w="864" w:type="dxa"/>
          </w:tcPr>
          <w:p w14:paraId="7F7FED81" w14:textId="77777777" w:rsidR="00055423" w:rsidRDefault="00000000">
            <w:pPr>
              <w:spacing w:line="271" w:lineRule="auto"/>
              <w:ind w:firstLine="0"/>
              <w:jc w:val="center"/>
            </w:pPr>
            <w:r>
              <w:rPr>
                <w:rFonts w:eastAsia="Times New Roman"/>
                <w:b/>
                <w:sz w:val="21"/>
              </w:rPr>
              <w:t>Р.бр.</w:t>
            </w:r>
          </w:p>
        </w:tc>
        <w:tc>
          <w:tcPr>
            <w:tcW w:w="8640" w:type="dxa"/>
          </w:tcPr>
          <w:p w14:paraId="69C75E07" w14:textId="77777777" w:rsidR="00055423" w:rsidRDefault="00000000">
            <w:pPr>
              <w:spacing w:line="271" w:lineRule="auto"/>
              <w:ind w:firstLine="0"/>
              <w:jc w:val="center"/>
            </w:pPr>
            <w:r>
              <w:rPr>
                <w:rFonts w:eastAsia="Times New Roman"/>
                <w:b/>
                <w:sz w:val="21"/>
              </w:rPr>
              <w:t>Назив теме</w:t>
            </w:r>
          </w:p>
        </w:tc>
      </w:tr>
      <w:tr w:rsidR="00055423" w14:paraId="14E648D1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6481E07D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640" w:type="dxa"/>
            <w:vAlign w:val="center"/>
          </w:tcPr>
          <w:p w14:paraId="658E086E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Дијагностика и терапија нефизиолошке оклузије</w:t>
            </w:r>
          </w:p>
        </w:tc>
      </w:tr>
      <w:tr w:rsidR="00055423" w14:paraId="0FBDA66A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61844022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640" w:type="dxa"/>
            <w:vAlign w:val="center"/>
          </w:tcPr>
          <w:p w14:paraId="299D39C3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Граничне кретње мандибуле и њихов значај у дијагностици оклузије</w:t>
            </w:r>
          </w:p>
        </w:tc>
      </w:tr>
      <w:tr w:rsidR="00055423" w14:paraId="6CF0F80B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79A5E94D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640" w:type="dxa"/>
            <w:vAlign w:val="center"/>
          </w:tcPr>
          <w:p w14:paraId="6CF42309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Функцијске кретње мандибуле и њихов значај за оклузалну хармонију</w:t>
            </w:r>
          </w:p>
        </w:tc>
      </w:tr>
      <w:tr w:rsidR="00055423" w14:paraId="46973DB3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7368ADDC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640" w:type="dxa"/>
            <w:vAlign w:val="center"/>
          </w:tcPr>
          <w:p w14:paraId="11E2D878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Клиничка анализа оклузије и њен значај у савременој стоматолошкој пракси</w:t>
            </w:r>
          </w:p>
        </w:tc>
      </w:tr>
      <w:tr w:rsidR="00055423" w14:paraId="3D83AC30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326C828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640" w:type="dxa"/>
            <w:vAlign w:val="center"/>
          </w:tcPr>
          <w:p w14:paraId="71D96EFC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Примена артикулатора средњих вредности у планирању протетске терапије</w:t>
            </w:r>
          </w:p>
        </w:tc>
      </w:tr>
    </w:tbl>
    <w:p w14:paraId="7F7183FA" w14:textId="77777777" w:rsidR="00055423" w:rsidRDefault="00055423">
      <w:pPr>
        <w:spacing w:line="271" w:lineRule="auto"/>
        <w:ind w:firstLine="0"/>
      </w:pPr>
    </w:p>
    <w:p w14:paraId="40E10628" w14:textId="77777777" w:rsidR="00055423" w:rsidRDefault="00000000">
      <w:pPr>
        <w:keepNext/>
        <w:spacing w:before="280" w:after="140" w:line="271" w:lineRule="auto"/>
        <w:ind w:firstLine="0"/>
      </w:pPr>
      <w:r>
        <w:rPr>
          <w:rFonts w:eastAsia="Times New Roman"/>
          <w:b/>
          <w:sz w:val="22"/>
        </w:rPr>
        <w:t>Орална хирургија</w:t>
      </w:r>
    </w:p>
    <w:tbl>
      <w:tblPr>
        <w:tblW w:w="0" w:type="auto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8640"/>
      </w:tblGrid>
      <w:tr w:rsidR="00055423" w14:paraId="46B92035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13B5FB9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640" w:type="dxa"/>
            <w:vAlign w:val="center"/>
          </w:tcPr>
          <w:p w14:paraId="47814ECE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Оралнохируршки аспекти фацијалног бола</w:t>
            </w:r>
          </w:p>
        </w:tc>
      </w:tr>
      <w:tr w:rsidR="00055423" w14:paraId="0399FC6E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47157642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640" w:type="dxa"/>
            <w:vAlign w:val="center"/>
          </w:tcPr>
          <w:p w14:paraId="1D669620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Примењена хируршка анатомија орофацијалне регије</w:t>
            </w:r>
          </w:p>
        </w:tc>
      </w:tr>
      <w:tr w:rsidR="00055423" w14:paraId="6CAAAB48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4575C148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640" w:type="dxa"/>
            <w:vAlign w:val="center"/>
          </w:tcPr>
          <w:p w14:paraId="5184BF4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Оралнохируршки третман кардиоваскуларних болесника</w:t>
            </w:r>
          </w:p>
        </w:tc>
      </w:tr>
      <w:tr w:rsidR="00055423" w14:paraId="064EDE24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6A79D49A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640" w:type="dxa"/>
            <w:vAlign w:val="center"/>
          </w:tcPr>
          <w:p w14:paraId="5EDE041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Дентоалвеоларна хирургија</w:t>
            </w:r>
          </w:p>
        </w:tc>
      </w:tr>
      <w:tr w:rsidR="00055423" w14:paraId="26BBD8D5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1AACB60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640" w:type="dxa"/>
            <w:vAlign w:val="center"/>
          </w:tcPr>
          <w:p w14:paraId="6ECF6E00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Вађење зуба</w:t>
            </w:r>
          </w:p>
        </w:tc>
      </w:tr>
      <w:tr w:rsidR="00055423" w14:paraId="2E794506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0F7A2D56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640" w:type="dxa"/>
            <w:vAlign w:val="center"/>
          </w:tcPr>
          <w:p w14:paraId="5D29FA6E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Инфламаторне цисте вилица</w:t>
            </w:r>
          </w:p>
        </w:tc>
      </w:tr>
      <w:tr w:rsidR="00055423" w14:paraId="55DC59C2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7D59C2B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640" w:type="dxa"/>
            <w:vAlign w:val="center"/>
          </w:tcPr>
          <w:p w14:paraId="778F7730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Оралнохируршке процедуре код неправилности меких ткива усне дупље</w:t>
            </w:r>
          </w:p>
        </w:tc>
      </w:tr>
      <w:tr w:rsidR="00055423" w14:paraId="22AEF19A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016C41E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640" w:type="dxa"/>
            <w:vAlign w:val="center"/>
          </w:tcPr>
          <w:p w14:paraId="31299110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Оралнохируршки третман неуролошких болесника</w:t>
            </w:r>
          </w:p>
        </w:tc>
      </w:tr>
      <w:tr w:rsidR="00055423" w14:paraId="07047E77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C77574F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640" w:type="dxa"/>
            <w:vAlign w:val="center"/>
          </w:tcPr>
          <w:p w14:paraId="795D2FED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Дентогене компликације максиларног синуса</w:t>
            </w:r>
          </w:p>
        </w:tc>
      </w:tr>
      <w:tr w:rsidR="00055423" w14:paraId="11C0B1D6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274518D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640" w:type="dxa"/>
            <w:vAlign w:val="center"/>
          </w:tcPr>
          <w:p w14:paraId="53698283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Локална анестезија у оралној хирургији</w:t>
            </w:r>
          </w:p>
        </w:tc>
      </w:tr>
    </w:tbl>
    <w:p w14:paraId="287314D8" w14:textId="77777777" w:rsidR="00055423" w:rsidRDefault="00055423">
      <w:pPr>
        <w:spacing w:line="271" w:lineRule="auto"/>
        <w:ind w:firstLine="0"/>
      </w:pPr>
    </w:p>
    <w:p w14:paraId="61F35B7D" w14:textId="77777777" w:rsidR="00055423" w:rsidRDefault="00000000">
      <w:pPr>
        <w:keepNext/>
        <w:spacing w:before="280" w:after="140" w:line="271" w:lineRule="auto"/>
        <w:ind w:firstLine="0"/>
      </w:pPr>
      <w:r>
        <w:rPr>
          <w:rFonts w:eastAsia="Times New Roman"/>
          <w:b/>
          <w:sz w:val="22"/>
        </w:rPr>
        <w:t>Орална медицина</w:t>
      </w:r>
    </w:p>
    <w:tbl>
      <w:tblPr>
        <w:tblW w:w="0" w:type="auto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8640"/>
      </w:tblGrid>
      <w:tr w:rsidR="00055423" w14:paraId="7D982854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009AD0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640" w:type="dxa"/>
            <w:vAlign w:val="center"/>
          </w:tcPr>
          <w:p w14:paraId="1E3F4DC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Заштитни механизми усне дупље</w:t>
            </w:r>
          </w:p>
        </w:tc>
      </w:tr>
      <w:tr w:rsidR="00055423" w14:paraId="0527782F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1501893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640" w:type="dxa"/>
            <w:vAlign w:val="center"/>
          </w:tcPr>
          <w:p w14:paraId="08CB9533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Крвне болести и уста</w:t>
            </w:r>
          </w:p>
        </w:tc>
      </w:tr>
      <w:tr w:rsidR="00055423" w14:paraId="6A06EE63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63A4E7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640" w:type="dxa"/>
            <w:vAlign w:val="center"/>
          </w:tcPr>
          <w:p w14:paraId="15E0BEDD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Оралне промене код витаминског дефицита</w:t>
            </w:r>
          </w:p>
        </w:tc>
      </w:tr>
      <w:tr w:rsidR="00055423" w14:paraId="1E9F67A6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6F43E7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640" w:type="dxa"/>
            <w:vAlign w:val="center"/>
          </w:tcPr>
          <w:p w14:paraId="030CD6F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Геронтостоматологија</w:t>
            </w:r>
          </w:p>
        </w:tc>
      </w:tr>
      <w:tr w:rsidR="00055423" w14:paraId="4808B13B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6457FB56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640" w:type="dxa"/>
            <w:vAlign w:val="center"/>
          </w:tcPr>
          <w:p w14:paraId="1E51ED48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Алергијске реакције у усној дупљи</w:t>
            </w:r>
          </w:p>
        </w:tc>
      </w:tr>
      <w:tr w:rsidR="00055423" w14:paraId="465FF4BF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1084089E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640" w:type="dxa"/>
            <w:vAlign w:val="center"/>
          </w:tcPr>
          <w:p w14:paraId="344B434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Ефлоресценце оралне слузокоже</w:t>
            </w:r>
          </w:p>
        </w:tc>
      </w:tr>
      <w:tr w:rsidR="00055423" w14:paraId="36FDD4E6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6A3D1EF2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640" w:type="dxa"/>
            <w:vAlign w:val="center"/>
          </w:tcPr>
          <w:p w14:paraId="45D928C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Рекурентне оралне улцерације</w:t>
            </w:r>
          </w:p>
        </w:tc>
      </w:tr>
      <w:tr w:rsidR="00055423" w14:paraId="32029E8D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42DD5266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640" w:type="dxa"/>
            <w:vAlign w:val="center"/>
          </w:tcPr>
          <w:p w14:paraId="3FAEDA89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Кожне болести у устима</w:t>
            </w:r>
          </w:p>
        </w:tc>
      </w:tr>
      <w:tr w:rsidR="00055423" w14:paraId="2EA5BB41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989467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640" w:type="dxa"/>
            <w:vAlign w:val="center"/>
          </w:tcPr>
          <w:p w14:paraId="12610266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Ендокрини поремећаји и болести уста</w:t>
            </w:r>
          </w:p>
        </w:tc>
      </w:tr>
      <w:tr w:rsidR="00055423" w14:paraId="57E3C908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70D68EF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640" w:type="dxa"/>
            <w:vAlign w:val="center"/>
          </w:tcPr>
          <w:p w14:paraId="487F54C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Орална жаришта и консекутивна обољења</w:t>
            </w:r>
          </w:p>
        </w:tc>
      </w:tr>
    </w:tbl>
    <w:p w14:paraId="58A40BFA" w14:textId="77777777" w:rsidR="00055423" w:rsidRDefault="00055423">
      <w:pPr>
        <w:spacing w:line="271" w:lineRule="auto"/>
        <w:ind w:firstLine="0"/>
      </w:pPr>
    </w:p>
    <w:p w14:paraId="286C4805" w14:textId="77777777" w:rsidR="00055423" w:rsidRDefault="00000000">
      <w:pPr>
        <w:keepNext/>
        <w:spacing w:before="280" w:after="140" w:line="271" w:lineRule="auto"/>
        <w:ind w:firstLine="0"/>
      </w:pPr>
      <w:r>
        <w:rPr>
          <w:rFonts w:eastAsia="Times New Roman"/>
          <w:b/>
          <w:sz w:val="22"/>
        </w:rPr>
        <w:lastRenderedPageBreak/>
        <w:t>Стоматолошка протетика клиника</w:t>
      </w:r>
    </w:p>
    <w:tbl>
      <w:tblPr>
        <w:tblW w:w="0" w:type="auto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8640"/>
      </w:tblGrid>
      <w:tr w:rsidR="00055423" w14:paraId="0269DD39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D13A542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640" w:type="dxa"/>
            <w:vAlign w:val="center"/>
          </w:tcPr>
          <w:p w14:paraId="6E8DAA44" w14:textId="77777777" w:rsidR="00055423" w:rsidRDefault="00000000">
            <w:pPr>
              <w:keepLines/>
              <w:spacing w:line="271" w:lineRule="auto"/>
              <w:ind w:firstLine="0"/>
              <w:rPr>
                <w:rFonts w:eastAsia="Times New Roman"/>
                <w:sz w:val="21"/>
              </w:rPr>
            </w:pPr>
            <w:r>
              <w:rPr>
                <w:rFonts w:eastAsia="Times New Roman"/>
                <w:sz w:val="21"/>
              </w:rPr>
              <w:t xml:space="preserve">Привремене фиксне протетске надокнаде – значај, </w:t>
            </w:r>
            <w:proofErr w:type="spellStart"/>
            <w:r>
              <w:rPr>
                <w:rFonts w:eastAsia="Times New Roman"/>
                <w:sz w:val="21"/>
              </w:rPr>
              <w:t>индикације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методе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израде</w:t>
            </w:r>
            <w:proofErr w:type="spellEnd"/>
          </w:p>
          <w:p w14:paraId="18F4F405" w14:textId="77777777" w:rsidR="00E471C1" w:rsidRPr="00E471C1" w:rsidRDefault="00E471C1" w:rsidP="00E471C1"/>
          <w:p w14:paraId="55B7ACB7" w14:textId="77777777" w:rsidR="00E471C1" w:rsidRPr="00E471C1" w:rsidRDefault="00E471C1" w:rsidP="00E471C1"/>
        </w:tc>
      </w:tr>
      <w:tr w:rsidR="00055423" w14:paraId="23A8A700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2588709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640" w:type="dxa"/>
            <w:vAlign w:val="center"/>
          </w:tcPr>
          <w:p w14:paraId="4DCC83A8" w14:textId="77777777" w:rsidR="00055423" w:rsidRDefault="00000000">
            <w:pPr>
              <w:keepLines/>
              <w:spacing w:line="271" w:lineRule="auto"/>
              <w:ind w:firstLine="0"/>
              <w:rPr>
                <w:rFonts w:eastAsia="Times New Roman"/>
                <w:sz w:val="21"/>
              </w:rPr>
            </w:pPr>
            <w:r>
              <w:rPr>
                <w:rFonts w:eastAsia="Times New Roman"/>
                <w:sz w:val="21"/>
              </w:rPr>
              <w:t xml:space="preserve">Принципи избора и поставе вештачких </w:t>
            </w:r>
            <w:proofErr w:type="spellStart"/>
            <w:r>
              <w:rPr>
                <w:rFonts w:eastAsia="Times New Roman"/>
                <w:sz w:val="21"/>
              </w:rPr>
              <w:t>зуба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тоталних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протеза</w:t>
            </w:r>
            <w:proofErr w:type="spellEnd"/>
          </w:p>
          <w:p w14:paraId="09412803" w14:textId="77777777" w:rsidR="00E471C1" w:rsidRPr="00E471C1" w:rsidRDefault="00E471C1" w:rsidP="00E471C1"/>
        </w:tc>
      </w:tr>
      <w:tr w:rsidR="00055423" w14:paraId="314147F4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181B6F6A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640" w:type="dxa"/>
            <w:vAlign w:val="center"/>
          </w:tcPr>
          <w:p w14:paraId="6F8DE2C3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Оклузални концепти у планирању и изради протетских надокнада</w:t>
            </w:r>
          </w:p>
        </w:tc>
      </w:tr>
      <w:tr w:rsidR="00055423" w14:paraId="518D7EB2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07231E2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640" w:type="dxa"/>
            <w:vAlign w:val="center"/>
          </w:tcPr>
          <w:p w14:paraId="27F0879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Телескоп круне у терапији комплексним парцијалним протезама</w:t>
            </w:r>
          </w:p>
        </w:tc>
      </w:tr>
      <w:tr w:rsidR="00055423" w14:paraId="17CB405F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C42554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640" w:type="dxa"/>
            <w:vAlign w:val="center"/>
          </w:tcPr>
          <w:p w14:paraId="57CE136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Принципи ретенције и стабилизације парцијалних протеза</w:t>
            </w:r>
          </w:p>
        </w:tc>
      </w:tr>
      <w:tr w:rsidR="00055423" w14:paraId="2E56187C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6B7129D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640" w:type="dxa"/>
            <w:vAlign w:val="center"/>
          </w:tcPr>
          <w:p w14:paraId="6F5F192F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Методе заштите брушених зуба током фикснопротетске терапије</w:t>
            </w:r>
          </w:p>
        </w:tc>
      </w:tr>
      <w:tr w:rsidR="00055423" w14:paraId="0CDE29CB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7F622FE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640" w:type="dxa"/>
            <w:vAlign w:val="center"/>
          </w:tcPr>
          <w:p w14:paraId="78A92ADC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Специфични облици тоталних протеза и њихове клиничке индикације</w:t>
            </w:r>
          </w:p>
        </w:tc>
      </w:tr>
      <w:tr w:rsidR="00055423" w14:paraId="3B977BEA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41F60B9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640" w:type="dxa"/>
            <w:vAlign w:val="center"/>
          </w:tcPr>
          <w:p w14:paraId="172683B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Примена паралелометра у планирању и изради протетских надокнада</w:t>
            </w:r>
          </w:p>
        </w:tc>
      </w:tr>
      <w:tr w:rsidR="00055423" w14:paraId="281B569B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D798C96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640" w:type="dxa"/>
            <w:vAlign w:val="center"/>
          </w:tcPr>
          <w:p w14:paraId="7B13226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Савремени принципи и поступци цементирања фиксних протетских надокнада</w:t>
            </w:r>
          </w:p>
        </w:tc>
      </w:tr>
      <w:tr w:rsidR="00055423" w14:paraId="2FB47C76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BD650F3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640" w:type="dxa"/>
            <w:vAlign w:val="center"/>
          </w:tcPr>
          <w:p w14:paraId="27EC4F8C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Значај правилних оклузалних односа у протетској рехабилитацији</w:t>
            </w:r>
          </w:p>
        </w:tc>
      </w:tr>
    </w:tbl>
    <w:p w14:paraId="3A178319" w14:textId="77777777" w:rsidR="00055423" w:rsidRDefault="00055423">
      <w:pPr>
        <w:spacing w:line="271" w:lineRule="auto"/>
        <w:ind w:firstLine="0"/>
      </w:pPr>
    </w:p>
    <w:p w14:paraId="330D33D2" w14:textId="77777777" w:rsidR="00055423" w:rsidRDefault="00000000">
      <w:pPr>
        <w:keepNext/>
        <w:spacing w:before="280" w:after="140" w:line="271" w:lineRule="auto"/>
        <w:ind w:firstLine="0"/>
      </w:pPr>
      <w:r>
        <w:rPr>
          <w:rFonts w:eastAsia="Times New Roman"/>
          <w:b/>
          <w:sz w:val="22"/>
        </w:rPr>
        <w:t>Превентивна стоматологија</w:t>
      </w:r>
    </w:p>
    <w:tbl>
      <w:tblPr>
        <w:tblW w:w="0" w:type="auto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8640"/>
      </w:tblGrid>
      <w:tr w:rsidR="00055423" w14:paraId="5DE3D5C0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1C89BBAF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640" w:type="dxa"/>
            <w:vAlign w:val="center"/>
          </w:tcPr>
          <w:p w14:paraId="6AF1EB7C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Превенција и профилакса оралних обољења трудница.</w:t>
            </w:r>
          </w:p>
        </w:tc>
      </w:tr>
      <w:tr w:rsidR="00055423" w14:paraId="54DF7E53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088C2190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640" w:type="dxa"/>
            <w:vAlign w:val="center"/>
          </w:tcPr>
          <w:p w14:paraId="02F039A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Предиспонирајући фактори за настанак повреда и могућности превенције повреда уста и зуба у деце.</w:t>
            </w:r>
          </w:p>
        </w:tc>
      </w:tr>
      <w:tr w:rsidR="00055423" w14:paraId="483EDBEE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1CFE0FC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640" w:type="dxa"/>
            <w:vAlign w:val="center"/>
          </w:tcPr>
          <w:p w14:paraId="59AFCC56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Утицај исхране на развој каријеса код деце.</w:t>
            </w:r>
          </w:p>
        </w:tc>
      </w:tr>
      <w:tr w:rsidR="00055423" w14:paraId="3EA2C8B7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E880763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640" w:type="dxa"/>
            <w:vAlign w:val="center"/>
          </w:tcPr>
          <w:p w14:paraId="3390373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Савремене стратегије у превенцији каријеса у раном детињству.</w:t>
            </w:r>
          </w:p>
        </w:tc>
      </w:tr>
      <w:tr w:rsidR="00055423" w14:paraId="1354D12B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05FAF3DE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640" w:type="dxa"/>
            <w:vAlign w:val="center"/>
          </w:tcPr>
          <w:p w14:paraId="076A47E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Дијагностика ризика за појаву оралних болести.</w:t>
            </w:r>
          </w:p>
        </w:tc>
      </w:tr>
    </w:tbl>
    <w:p w14:paraId="37E92235" w14:textId="77777777" w:rsidR="00055423" w:rsidRDefault="00055423">
      <w:pPr>
        <w:spacing w:line="271" w:lineRule="auto"/>
        <w:ind w:firstLine="0"/>
      </w:pPr>
    </w:p>
    <w:p w14:paraId="05D21EF4" w14:textId="77777777" w:rsidR="00055423" w:rsidRDefault="00000000">
      <w:pPr>
        <w:keepNext/>
        <w:spacing w:before="280" w:after="140" w:line="271" w:lineRule="auto"/>
        <w:ind w:firstLine="0"/>
      </w:pPr>
      <w:r>
        <w:rPr>
          <w:rFonts w:eastAsia="Times New Roman"/>
          <w:b/>
          <w:sz w:val="22"/>
        </w:rPr>
        <w:t>Клиничка ендодонција</w:t>
      </w:r>
    </w:p>
    <w:tbl>
      <w:tblPr>
        <w:tblW w:w="0" w:type="auto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8640"/>
      </w:tblGrid>
      <w:tr w:rsidR="00055423" w14:paraId="44990471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68FA25FE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640" w:type="dxa"/>
            <w:vAlign w:val="center"/>
          </w:tcPr>
          <w:p w14:paraId="5F9079AE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Могућности ендодонтског лечења ендо-пародонталних лезија.</w:t>
            </w:r>
          </w:p>
        </w:tc>
      </w:tr>
      <w:tr w:rsidR="00055423" w14:paraId="744E9AEC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D4C4309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640" w:type="dxa"/>
            <w:vAlign w:val="center"/>
          </w:tcPr>
          <w:p w14:paraId="31B47DE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Ендодонтски материјали за пуњење канала корена.</w:t>
            </w:r>
          </w:p>
        </w:tc>
      </w:tr>
      <w:tr w:rsidR="00055423" w14:paraId="1166F228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069A3CAF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640" w:type="dxa"/>
            <w:vAlign w:val="center"/>
          </w:tcPr>
          <w:p w14:paraId="6616BD3E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Акцидентална оштећења пулпе зуба</w:t>
            </w:r>
          </w:p>
        </w:tc>
      </w:tr>
      <w:tr w:rsidR="00055423" w14:paraId="70A4B9F9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5649AF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640" w:type="dxa"/>
            <w:vAlign w:val="center"/>
          </w:tcPr>
          <w:p w14:paraId="6F998C3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Технике оптурације канала корена зуба</w:t>
            </w:r>
          </w:p>
        </w:tc>
      </w:tr>
      <w:tr w:rsidR="00055423" w14:paraId="321F7C01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7A7F74DF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640" w:type="dxa"/>
            <w:vAlign w:val="center"/>
          </w:tcPr>
          <w:p w14:paraId="06B3931D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Улога бактерија у патогенези апексних пародонтита.</w:t>
            </w:r>
          </w:p>
        </w:tc>
      </w:tr>
      <w:tr w:rsidR="00055423" w14:paraId="5DE36B10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7CE4FC3D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640" w:type="dxa"/>
            <w:vAlign w:val="center"/>
          </w:tcPr>
          <w:p w14:paraId="77ADB41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Морфо-физиолошка повезаност ендодонта и пародонта.</w:t>
            </w:r>
          </w:p>
        </w:tc>
      </w:tr>
      <w:tr w:rsidR="00055423" w14:paraId="6633802A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788F3D5E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640" w:type="dxa"/>
            <w:vAlign w:val="center"/>
          </w:tcPr>
          <w:p w14:paraId="2A32495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Компликације ендодонског лечења</w:t>
            </w:r>
          </w:p>
        </w:tc>
      </w:tr>
      <w:tr w:rsidR="00055423" w14:paraId="44A72140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60C8BFFF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640" w:type="dxa"/>
            <w:vAlign w:val="center"/>
          </w:tcPr>
          <w:p w14:paraId="107A735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Интраканална медикација инфицираног каналног система</w:t>
            </w:r>
          </w:p>
        </w:tc>
      </w:tr>
      <w:tr w:rsidR="00055423" w14:paraId="67C0FC8F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AB375E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640" w:type="dxa"/>
            <w:vAlign w:val="center"/>
          </w:tcPr>
          <w:p w14:paraId="31BE2C9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Некрозе, некробиозе и гангрене пулпе</w:t>
            </w:r>
          </w:p>
        </w:tc>
      </w:tr>
      <w:tr w:rsidR="00055423" w14:paraId="2E7EF2A5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71A5EF22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640" w:type="dxa"/>
            <w:vAlign w:val="center"/>
          </w:tcPr>
          <w:p w14:paraId="05D3EED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Апексна матрица, цурење и пропустљивост дентина</w:t>
            </w:r>
          </w:p>
        </w:tc>
      </w:tr>
    </w:tbl>
    <w:p w14:paraId="572F686D" w14:textId="77777777" w:rsidR="00055423" w:rsidRDefault="00055423">
      <w:pPr>
        <w:spacing w:line="271" w:lineRule="auto"/>
        <w:ind w:firstLine="0"/>
      </w:pPr>
    </w:p>
    <w:p w14:paraId="50C5F82F" w14:textId="77777777" w:rsidR="00055423" w:rsidRDefault="00000000">
      <w:pPr>
        <w:keepNext/>
        <w:spacing w:before="280" w:after="140" w:line="271" w:lineRule="auto"/>
        <w:ind w:firstLine="0"/>
      </w:pPr>
      <w:r>
        <w:rPr>
          <w:rFonts w:eastAsia="Times New Roman"/>
          <w:b/>
          <w:sz w:val="22"/>
        </w:rPr>
        <w:t>Орална имплантологија</w:t>
      </w:r>
    </w:p>
    <w:tbl>
      <w:tblPr>
        <w:tblW w:w="0" w:type="auto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8640"/>
      </w:tblGrid>
      <w:tr w:rsidR="00055423" w14:paraId="65A5B2D0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5CF141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640" w:type="dxa"/>
            <w:vAlign w:val="center"/>
          </w:tcPr>
          <w:p w14:paraId="0441A6B9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Индикације и контраиндикације за уградњу денталних имплантата</w:t>
            </w:r>
          </w:p>
        </w:tc>
      </w:tr>
      <w:tr w:rsidR="00055423" w14:paraId="0432B3BB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0C9CAD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640" w:type="dxa"/>
            <w:vAlign w:val="center"/>
          </w:tcPr>
          <w:p w14:paraId="7876E4C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Техника уградње денталних имплантата</w:t>
            </w:r>
          </w:p>
        </w:tc>
      </w:tr>
      <w:tr w:rsidR="00055423" w14:paraId="245F0D03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825CAE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640" w:type="dxa"/>
            <w:vAlign w:val="center"/>
          </w:tcPr>
          <w:p w14:paraId="4CE5BBB6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Протетске надокнаде на имплантатима</w:t>
            </w:r>
          </w:p>
        </w:tc>
      </w:tr>
      <w:tr w:rsidR="00055423" w14:paraId="49E6C930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6D82E209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640" w:type="dxa"/>
            <w:vAlign w:val="center"/>
          </w:tcPr>
          <w:p w14:paraId="51266B1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Компликације у имплантологији</w:t>
            </w:r>
          </w:p>
        </w:tc>
      </w:tr>
      <w:tr w:rsidR="00055423" w14:paraId="79BC5A5B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5C117FF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lastRenderedPageBreak/>
              <w:t>5.</w:t>
            </w:r>
          </w:p>
        </w:tc>
        <w:tc>
          <w:tcPr>
            <w:tcW w:w="8640" w:type="dxa"/>
            <w:vAlign w:val="center"/>
          </w:tcPr>
          <w:p w14:paraId="4BC2582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Вођена коштана регенерација</w:t>
            </w:r>
          </w:p>
        </w:tc>
      </w:tr>
    </w:tbl>
    <w:p w14:paraId="49E349DF" w14:textId="77777777" w:rsidR="00055423" w:rsidRDefault="00055423">
      <w:pPr>
        <w:spacing w:line="271" w:lineRule="auto"/>
        <w:ind w:firstLine="0"/>
      </w:pPr>
    </w:p>
    <w:p w14:paraId="2F95D0BF" w14:textId="77777777" w:rsidR="00055423" w:rsidRDefault="00000000">
      <w:pPr>
        <w:keepNext/>
        <w:spacing w:before="280" w:after="140" w:line="271" w:lineRule="auto"/>
        <w:ind w:firstLine="0"/>
      </w:pPr>
      <w:r>
        <w:rPr>
          <w:rFonts w:eastAsia="Times New Roman"/>
          <w:b/>
          <w:sz w:val="22"/>
        </w:rPr>
        <w:t>Рестауративна одонтологија</w:t>
      </w:r>
    </w:p>
    <w:tbl>
      <w:tblPr>
        <w:tblW w:w="0" w:type="auto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8640"/>
      </w:tblGrid>
      <w:tr w:rsidR="00055423" w14:paraId="0FE74F84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175F5F9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640" w:type="dxa"/>
            <w:vAlign w:val="center"/>
          </w:tcPr>
          <w:p w14:paraId="456A08F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Гласјономери и њихова примена у рестауративној стоматологији.</w:t>
            </w:r>
          </w:p>
        </w:tc>
      </w:tr>
      <w:tr w:rsidR="00055423" w14:paraId="572BECBE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7E2359F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640" w:type="dxa"/>
            <w:vAlign w:val="center"/>
          </w:tcPr>
          <w:p w14:paraId="7C2FF73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Могуће грешке у клиничкој пракси при раду са композитним материјалима.</w:t>
            </w:r>
          </w:p>
        </w:tc>
      </w:tr>
      <w:tr w:rsidR="00055423" w14:paraId="453D39C0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4B26274A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640" w:type="dxa"/>
            <w:vAlign w:val="center"/>
          </w:tcPr>
          <w:p w14:paraId="11BE1BCD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Протокол ендодонтске терапије инфицираног канала корена зуба</w:t>
            </w:r>
          </w:p>
        </w:tc>
      </w:tr>
      <w:tr w:rsidR="00055423" w14:paraId="4BF1371A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8DD500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640" w:type="dxa"/>
            <w:vAlign w:val="center"/>
          </w:tcPr>
          <w:p w14:paraId="3D539E6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Прекривање артефицијално отворене пулпе</w:t>
            </w:r>
          </w:p>
        </w:tc>
      </w:tr>
      <w:tr w:rsidR="00055423" w14:paraId="41A637A8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7FDBBE2D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640" w:type="dxa"/>
            <w:vAlign w:val="center"/>
          </w:tcPr>
          <w:p w14:paraId="2C1BCD78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Некариозна оштећења зуба и аномалије глеђи и дентина</w:t>
            </w:r>
          </w:p>
        </w:tc>
      </w:tr>
      <w:tr w:rsidR="00055423" w14:paraId="7A913E20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0B1F150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640" w:type="dxa"/>
            <w:vAlign w:val="center"/>
          </w:tcPr>
          <w:p w14:paraId="65835643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Значај апексног микроцурења и пропустљивости дентина.</w:t>
            </w:r>
          </w:p>
        </w:tc>
      </w:tr>
      <w:tr w:rsidR="00055423" w14:paraId="3FD49200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109402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640" w:type="dxa"/>
            <w:vAlign w:val="center"/>
          </w:tcPr>
          <w:p w14:paraId="4AEEA248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Атрофије и дегенерације пулпе</w:t>
            </w:r>
          </w:p>
        </w:tc>
      </w:tr>
      <w:tr w:rsidR="00055423" w14:paraId="55878FB8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8F1EEC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640" w:type="dxa"/>
            <w:vAlign w:val="center"/>
          </w:tcPr>
          <w:p w14:paraId="54622DE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Бол у орофацијалној регији</w:t>
            </w:r>
          </w:p>
        </w:tc>
      </w:tr>
      <w:tr w:rsidR="00055423" w14:paraId="1611EF64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4CA1646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640" w:type="dxa"/>
            <w:vAlign w:val="center"/>
          </w:tcPr>
          <w:p w14:paraId="6695A619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Биолошке методе лечења пулпе</w:t>
            </w:r>
          </w:p>
        </w:tc>
      </w:tr>
      <w:tr w:rsidR="00055423" w14:paraId="1A228520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49198EC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640" w:type="dxa"/>
            <w:vAlign w:val="center"/>
          </w:tcPr>
          <w:p w14:paraId="7487D5D0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Средства за иригацију канала корена зуба</w:t>
            </w:r>
          </w:p>
        </w:tc>
      </w:tr>
    </w:tbl>
    <w:p w14:paraId="3959DA24" w14:textId="77777777" w:rsidR="00055423" w:rsidRDefault="00055423">
      <w:pPr>
        <w:spacing w:line="271" w:lineRule="auto"/>
        <w:ind w:firstLine="0"/>
      </w:pPr>
    </w:p>
    <w:p w14:paraId="471275CA" w14:textId="77777777" w:rsidR="00055423" w:rsidRDefault="00000000">
      <w:pPr>
        <w:keepNext/>
        <w:spacing w:before="280" w:after="140" w:line="271" w:lineRule="auto"/>
        <w:ind w:firstLine="0"/>
      </w:pPr>
      <w:r>
        <w:rPr>
          <w:rFonts w:eastAsia="Times New Roman"/>
          <w:b/>
          <w:sz w:val="22"/>
        </w:rPr>
        <w:t>Ортопедија вилица</w:t>
      </w:r>
    </w:p>
    <w:tbl>
      <w:tblPr>
        <w:tblW w:w="0" w:type="auto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8640"/>
      </w:tblGrid>
      <w:tr w:rsidR="00055423" w14:paraId="0DD26560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A3D90A3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640" w:type="dxa"/>
            <w:vAlign w:val="center"/>
          </w:tcPr>
          <w:p w14:paraId="16E29748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Постнатални развој краниофацијалног система</w:t>
            </w:r>
          </w:p>
        </w:tc>
      </w:tr>
      <w:tr w:rsidR="00055423" w14:paraId="46BAC93C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B87BA89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640" w:type="dxa"/>
            <w:vAlign w:val="center"/>
          </w:tcPr>
          <w:p w14:paraId="010C0F7C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Функције орофацијалног система и њихов значај за правилан развој вилица и зуба</w:t>
            </w:r>
          </w:p>
        </w:tc>
      </w:tr>
      <w:tr w:rsidR="00055423" w14:paraId="4F0AB689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06C6DDB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640" w:type="dxa"/>
            <w:vAlign w:val="center"/>
          </w:tcPr>
          <w:p w14:paraId="1633748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Расцепи усне и непца и могућности терапије</w:t>
            </w:r>
          </w:p>
        </w:tc>
      </w:tr>
      <w:tr w:rsidR="00055423" w14:paraId="73004C0D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69098EE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640" w:type="dxa"/>
            <w:vAlign w:val="center"/>
          </w:tcPr>
          <w:p w14:paraId="2EBBBAF6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Вертикалне неправилности у оклузији</w:t>
            </w:r>
          </w:p>
        </w:tc>
      </w:tr>
      <w:tr w:rsidR="00055423" w14:paraId="1E62F96B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6D728302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640" w:type="dxa"/>
            <w:vAlign w:val="center"/>
          </w:tcPr>
          <w:p w14:paraId="5D18E05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Специфичности рендген дијагностике у ортопедији вилица</w:t>
            </w:r>
          </w:p>
        </w:tc>
      </w:tr>
      <w:tr w:rsidR="00055423" w14:paraId="2F3F147F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6073DDC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640" w:type="dxa"/>
            <w:vAlign w:val="center"/>
          </w:tcPr>
          <w:p w14:paraId="6EDCFF6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Импактирани зуби</w:t>
            </w:r>
          </w:p>
        </w:tc>
      </w:tr>
      <w:tr w:rsidR="00055423" w14:paraId="2875A5C7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2020C3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640" w:type="dxa"/>
            <w:vAlign w:val="center"/>
          </w:tcPr>
          <w:p w14:paraId="439AE5F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Екстракциона терапија</w:t>
            </w:r>
          </w:p>
        </w:tc>
      </w:tr>
      <w:tr w:rsidR="00055423" w14:paraId="6DBECDA2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446583B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640" w:type="dxa"/>
            <w:vAlign w:val="center"/>
          </w:tcPr>
          <w:p w14:paraId="057B7EDE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Тескоба зубних низова: узроци и последице</w:t>
            </w:r>
          </w:p>
        </w:tc>
      </w:tr>
      <w:tr w:rsidR="00055423" w14:paraId="5E87AC11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4BE3A88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640" w:type="dxa"/>
            <w:vAlign w:val="center"/>
          </w:tcPr>
          <w:p w14:paraId="77C51370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Хиподонције</w:t>
            </w:r>
          </w:p>
        </w:tc>
      </w:tr>
      <w:tr w:rsidR="00055423" w14:paraId="30F5D0B7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15E0F619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640" w:type="dxa"/>
            <w:vAlign w:val="center"/>
          </w:tcPr>
          <w:p w14:paraId="724DE276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Ортодонтска терапија одраслих пацијената</w:t>
            </w:r>
          </w:p>
        </w:tc>
      </w:tr>
    </w:tbl>
    <w:p w14:paraId="6154BC18" w14:textId="77777777" w:rsidR="00055423" w:rsidRDefault="00055423">
      <w:pPr>
        <w:spacing w:line="271" w:lineRule="auto"/>
        <w:ind w:firstLine="0"/>
      </w:pPr>
    </w:p>
    <w:p w14:paraId="0AC0C6BB" w14:textId="77777777" w:rsidR="00055423" w:rsidRDefault="00000000">
      <w:pPr>
        <w:keepNext/>
        <w:spacing w:before="280" w:after="140" w:line="271" w:lineRule="auto"/>
        <w:ind w:firstLine="0"/>
      </w:pPr>
      <w:r>
        <w:rPr>
          <w:rFonts w:eastAsia="Times New Roman"/>
          <w:b/>
          <w:sz w:val="22"/>
        </w:rPr>
        <w:t>Пародонтологија</w:t>
      </w:r>
    </w:p>
    <w:tbl>
      <w:tblPr>
        <w:tblW w:w="0" w:type="auto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8640"/>
      </w:tblGrid>
      <w:tr w:rsidR="00055423" w14:paraId="4C2BD27F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094978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640" w:type="dxa"/>
            <w:vAlign w:val="center"/>
          </w:tcPr>
          <w:p w14:paraId="7F85D43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Дијагноза обољења парадонта</w:t>
            </w:r>
          </w:p>
        </w:tc>
      </w:tr>
      <w:tr w:rsidR="00055423" w14:paraId="1DE10EF0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48371DBD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640" w:type="dxa"/>
            <w:vAlign w:val="center"/>
          </w:tcPr>
          <w:p w14:paraId="057CC01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Индекси за утврђивања стања пародонцијума</w:t>
            </w:r>
          </w:p>
        </w:tc>
      </w:tr>
      <w:tr w:rsidR="00055423" w14:paraId="5EC19B3A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E06E0F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640" w:type="dxa"/>
            <w:vAlign w:val="center"/>
          </w:tcPr>
          <w:p w14:paraId="48F0F3B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Гингивитиси</w:t>
            </w:r>
          </w:p>
        </w:tc>
      </w:tr>
      <w:tr w:rsidR="00055423" w14:paraId="60CFCF10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446CD650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640" w:type="dxa"/>
            <w:vAlign w:val="center"/>
          </w:tcPr>
          <w:p w14:paraId="1E66978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Орална имплантологија</w:t>
            </w:r>
          </w:p>
        </w:tc>
      </w:tr>
      <w:tr w:rsidR="00055423" w14:paraId="585A4234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1F477B6C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640" w:type="dxa"/>
            <w:vAlign w:val="center"/>
          </w:tcPr>
          <w:p w14:paraId="14569336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Хронична пародонтопатија</w:t>
            </w:r>
          </w:p>
        </w:tc>
      </w:tr>
      <w:tr w:rsidR="00055423" w14:paraId="35F251AA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19AA989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640" w:type="dxa"/>
            <w:vAlign w:val="center"/>
          </w:tcPr>
          <w:p w14:paraId="40AC8836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Дентални плак</w:t>
            </w:r>
          </w:p>
        </w:tc>
      </w:tr>
      <w:tr w:rsidR="00055423" w14:paraId="1A3ACDCD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C33BCA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640" w:type="dxa"/>
            <w:vAlign w:val="center"/>
          </w:tcPr>
          <w:p w14:paraId="57D8261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Хируршка терапија пародонтопатије</w:t>
            </w:r>
          </w:p>
        </w:tc>
      </w:tr>
      <w:tr w:rsidR="00055423" w14:paraId="0E87C49C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CF5EBD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640" w:type="dxa"/>
            <w:vAlign w:val="center"/>
          </w:tcPr>
          <w:p w14:paraId="6165840D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Медикаментозна терапија пародонтопатије</w:t>
            </w:r>
          </w:p>
        </w:tc>
      </w:tr>
      <w:tr w:rsidR="00055423" w14:paraId="560D695C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098E5F0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640" w:type="dxa"/>
            <w:vAlign w:val="center"/>
          </w:tcPr>
          <w:p w14:paraId="35DF6408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Примена ласера у оралној медицини и пародонтологији</w:t>
            </w:r>
          </w:p>
        </w:tc>
      </w:tr>
      <w:tr w:rsidR="00055423" w14:paraId="24BA5EA7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B8FE22F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640" w:type="dxa"/>
            <w:vAlign w:val="center"/>
          </w:tcPr>
          <w:p w14:paraId="39E5174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Селективно брушење</w:t>
            </w:r>
          </w:p>
        </w:tc>
      </w:tr>
    </w:tbl>
    <w:p w14:paraId="1CCDE312" w14:textId="77777777" w:rsidR="00055423" w:rsidRDefault="00055423">
      <w:pPr>
        <w:spacing w:line="271" w:lineRule="auto"/>
        <w:ind w:firstLine="0"/>
      </w:pPr>
    </w:p>
    <w:p w14:paraId="218CD812" w14:textId="77777777" w:rsidR="00055423" w:rsidRDefault="00000000">
      <w:pPr>
        <w:keepNext/>
        <w:spacing w:before="280" w:after="140" w:line="271" w:lineRule="auto"/>
        <w:ind w:firstLine="0"/>
      </w:pPr>
      <w:r>
        <w:rPr>
          <w:rFonts w:eastAsia="Times New Roman"/>
          <w:b/>
          <w:sz w:val="22"/>
        </w:rPr>
        <w:lastRenderedPageBreak/>
        <w:t>Дечја стоматологија</w:t>
      </w:r>
    </w:p>
    <w:tbl>
      <w:tblPr>
        <w:tblW w:w="0" w:type="auto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8640"/>
      </w:tblGrid>
      <w:tr w:rsidR="00055423" w14:paraId="0B37FF4D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349FCA9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640" w:type="dxa"/>
            <w:vAlign w:val="center"/>
          </w:tcPr>
          <w:p w14:paraId="386EBC3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Психолошки аспекти у стоматолошком третману детета.</w:t>
            </w:r>
          </w:p>
        </w:tc>
      </w:tr>
      <w:tr w:rsidR="00055423" w14:paraId="2DE25372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7E49D49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640" w:type="dxa"/>
            <w:vAlign w:val="center"/>
          </w:tcPr>
          <w:p w14:paraId="716E41E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Савремена дијагностика почетне каријесне лезије.</w:t>
            </w:r>
          </w:p>
        </w:tc>
      </w:tr>
      <w:tr w:rsidR="00055423" w14:paraId="08E85225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EA7F5E2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640" w:type="dxa"/>
            <w:vAlign w:val="center"/>
          </w:tcPr>
          <w:p w14:paraId="6C90C52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Савремени протоколи за третман луксираних и авулзираних зуба код деце.</w:t>
            </w:r>
          </w:p>
        </w:tc>
      </w:tr>
      <w:tr w:rsidR="00055423" w14:paraId="5233CD7D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3A41B59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640" w:type="dxa"/>
            <w:vAlign w:val="center"/>
          </w:tcPr>
          <w:p w14:paraId="59BA113A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Неинвазивна терапија иницијалне каријесне лезије.</w:t>
            </w:r>
          </w:p>
        </w:tc>
      </w:tr>
      <w:tr w:rsidR="00055423" w14:paraId="0FC3158D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85F1213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640" w:type="dxa"/>
            <w:vAlign w:val="center"/>
          </w:tcPr>
          <w:p w14:paraId="62451853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Савремени приступи у терапији младих сталних зуба.</w:t>
            </w:r>
          </w:p>
        </w:tc>
      </w:tr>
      <w:tr w:rsidR="00055423" w14:paraId="67B27A7B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4A1E7D3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640" w:type="dxa"/>
            <w:vAlign w:val="center"/>
          </w:tcPr>
          <w:p w14:paraId="0EB598C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Протетско збрињавање деце и адолесцената</w:t>
            </w:r>
          </w:p>
        </w:tc>
      </w:tr>
      <w:tr w:rsidR="00055423" w14:paraId="149A825E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4511B45F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640" w:type="dxa"/>
            <w:vAlign w:val="center"/>
          </w:tcPr>
          <w:p w14:paraId="53418BBC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Употреба биокомпатибилних материјала у третману трауматских повреда зуба.</w:t>
            </w:r>
          </w:p>
        </w:tc>
      </w:tr>
      <w:tr w:rsidR="00055423" w14:paraId="5B0695C8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0688062D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640" w:type="dxa"/>
            <w:vAlign w:val="center"/>
          </w:tcPr>
          <w:p w14:paraId="2B619E6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Вирусне инфекције у устима деце.</w:t>
            </w:r>
          </w:p>
        </w:tc>
      </w:tr>
      <w:tr w:rsidR="00055423" w14:paraId="0045B2F4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6ACF49F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640" w:type="dxa"/>
            <w:vAlign w:val="center"/>
          </w:tcPr>
          <w:p w14:paraId="54313EDE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Оралне манифестације системских обољења у деце.</w:t>
            </w:r>
          </w:p>
        </w:tc>
      </w:tr>
      <w:tr w:rsidR="00055423" w14:paraId="2B9A9F8E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0CEEE820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640" w:type="dxa"/>
            <w:vAlign w:val="center"/>
          </w:tcPr>
          <w:p w14:paraId="444BD0E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Стоматолошки материјали у дечјој стоматологији.</w:t>
            </w:r>
          </w:p>
        </w:tc>
      </w:tr>
    </w:tbl>
    <w:p w14:paraId="65E7CD1F" w14:textId="77777777" w:rsidR="00055423" w:rsidRDefault="00055423">
      <w:pPr>
        <w:spacing w:line="271" w:lineRule="auto"/>
        <w:ind w:firstLine="0"/>
      </w:pPr>
    </w:p>
    <w:p w14:paraId="08B5037E" w14:textId="77777777" w:rsidR="00055423" w:rsidRDefault="00000000">
      <w:pPr>
        <w:keepNext/>
        <w:spacing w:before="280" w:after="140" w:line="271" w:lineRule="auto"/>
        <w:ind w:firstLine="0"/>
      </w:pPr>
      <w:r>
        <w:rPr>
          <w:rFonts w:eastAsia="Times New Roman"/>
          <w:b/>
          <w:sz w:val="22"/>
        </w:rPr>
        <w:t>Максилофацијална хирургија</w:t>
      </w:r>
    </w:p>
    <w:tbl>
      <w:tblPr>
        <w:tblW w:w="0" w:type="auto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8640"/>
      </w:tblGrid>
      <w:tr w:rsidR="00055423" w14:paraId="0E4802EF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353BB76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640" w:type="dxa"/>
            <w:vAlign w:val="center"/>
          </w:tcPr>
          <w:p w14:paraId="5E4B6AA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Инфекција меких ткива лица</w:t>
            </w:r>
          </w:p>
        </w:tc>
      </w:tr>
      <w:tr w:rsidR="00055423" w14:paraId="40E87A6A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7BA53202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640" w:type="dxa"/>
            <w:vAlign w:val="center"/>
          </w:tcPr>
          <w:p w14:paraId="0B7C76DC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Цисте вилица</w:t>
            </w:r>
          </w:p>
        </w:tc>
      </w:tr>
      <w:tr w:rsidR="00055423" w14:paraId="3982F20A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1ACF998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640" w:type="dxa"/>
            <w:vAlign w:val="center"/>
          </w:tcPr>
          <w:p w14:paraId="53F001D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Одонтогени тумори</w:t>
            </w:r>
          </w:p>
        </w:tc>
      </w:tr>
      <w:tr w:rsidR="00055423" w14:paraId="73F33476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6F8C432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640" w:type="dxa"/>
            <w:vAlign w:val="center"/>
          </w:tcPr>
          <w:p w14:paraId="72F9CB2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Преломи горње вилице</w:t>
            </w:r>
          </w:p>
        </w:tc>
      </w:tr>
      <w:tr w:rsidR="00055423" w14:paraId="0C4A2692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43093F8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640" w:type="dxa"/>
            <w:vAlign w:val="center"/>
          </w:tcPr>
          <w:p w14:paraId="66A969B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Расцепи примарног и секундарног палатума</w:t>
            </w:r>
          </w:p>
        </w:tc>
      </w:tr>
      <w:tr w:rsidR="00055423" w14:paraId="6DFD4EEA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13B6574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640" w:type="dxa"/>
            <w:vAlign w:val="center"/>
          </w:tcPr>
          <w:p w14:paraId="553F0706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Обољења максиларног синуса</w:t>
            </w:r>
          </w:p>
        </w:tc>
      </w:tr>
      <w:tr w:rsidR="00055423" w14:paraId="1B60A4FC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9C949C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640" w:type="dxa"/>
            <w:vAlign w:val="center"/>
          </w:tcPr>
          <w:p w14:paraId="2A1FA74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Обољења темпоромандибуларног зглоба</w:t>
            </w:r>
          </w:p>
        </w:tc>
      </w:tr>
      <w:tr w:rsidR="00055423" w14:paraId="39952281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65A623BF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640" w:type="dxa"/>
            <w:vAlign w:val="center"/>
          </w:tcPr>
          <w:p w14:paraId="31B64C2D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Саркоми максилофацијалне регије</w:t>
            </w:r>
          </w:p>
        </w:tc>
      </w:tr>
    </w:tbl>
    <w:p w14:paraId="295985A2" w14:textId="77777777" w:rsidR="00055423" w:rsidRDefault="00055423">
      <w:pPr>
        <w:spacing w:line="271" w:lineRule="auto"/>
        <w:ind w:firstLine="0"/>
      </w:pPr>
    </w:p>
    <w:sectPr w:rsidR="00055423" w:rsidSect="00BC1BC6">
      <w:pgSz w:w="12240" w:h="15840"/>
      <w:pgMar w:top="1374" w:right="1340" w:bottom="1380" w:left="1320" w:header="0" w:footer="101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97F7F" w14:textId="77777777" w:rsidR="00DE3787" w:rsidRDefault="00DE3787">
      <w:r>
        <w:separator/>
      </w:r>
    </w:p>
  </w:endnote>
  <w:endnote w:type="continuationSeparator" w:id="0">
    <w:p w14:paraId="1B61EE21" w14:textId="77777777" w:rsidR="00DE3787" w:rsidRDefault="00DE3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1CD90" w14:textId="77777777" w:rsidR="00DE3787" w:rsidRDefault="00DE3787">
      <w:r>
        <w:separator/>
      </w:r>
    </w:p>
  </w:footnote>
  <w:footnote w:type="continuationSeparator" w:id="0">
    <w:p w14:paraId="00C1A574" w14:textId="77777777" w:rsidR="00DE3787" w:rsidRDefault="00DE37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E35EF"/>
    <w:multiLevelType w:val="hybridMultilevel"/>
    <w:tmpl w:val="B774748E"/>
    <w:lvl w:ilvl="0" w:tplc="67EE9BDC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" w15:restartNumberingAfterBreak="0">
    <w:nsid w:val="13E90E8F"/>
    <w:multiLevelType w:val="hybridMultilevel"/>
    <w:tmpl w:val="B774748E"/>
    <w:lvl w:ilvl="0" w:tplc="67EE9BDC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2" w15:restartNumberingAfterBreak="0">
    <w:nsid w:val="14A47925"/>
    <w:multiLevelType w:val="hybridMultilevel"/>
    <w:tmpl w:val="B774748E"/>
    <w:lvl w:ilvl="0" w:tplc="67EE9BDC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3" w15:restartNumberingAfterBreak="0">
    <w:nsid w:val="28D527C6"/>
    <w:multiLevelType w:val="hybridMultilevel"/>
    <w:tmpl w:val="B774748E"/>
    <w:lvl w:ilvl="0" w:tplc="67EE9BDC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4" w15:restartNumberingAfterBreak="0">
    <w:nsid w:val="66D84905"/>
    <w:multiLevelType w:val="hybridMultilevel"/>
    <w:tmpl w:val="B774748E"/>
    <w:lvl w:ilvl="0" w:tplc="67EE9BDC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5" w15:restartNumberingAfterBreak="0">
    <w:nsid w:val="6F8223A2"/>
    <w:multiLevelType w:val="hybridMultilevel"/>
    <w:tmpl w:val="B774748E"/>
    <w:lvl w:ilvl="0" w:tplc="67EE9BDC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ind w:left="6504" w:hanging="180"/>
      </w:pPr>
    </w:lvl>
  </w:abstractNum>
  <w:num w:numId="1" w16cid:durableId="35592418">
    <w:abstractNumId w:val="4"/>
  </w:num>
  <w:num w:numId="2" w16cid:durableId="1469007876">
    <w:abstractNumId w:val="2"/>
  </w:num>
  <w:num w:numId="3" w16cid:durableId="800731736">
    <w:abstractNumId w:val="5"/>
  </w:num>
  <w:num w:numId="4" w16cid:durableId="218437996">
    <w:abstractNumId w:val="0"/>
  </w:num>
  <w:num w:numId="5" w16cid:durableId="674193359">
    <w:abstractNumId w:val="3"/>
  </w:num>
  <w:num w:numId="6" w16cid:durableId="2138255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968"/>
    <w:rsid w:val="00014240"/>
    <w:rsid w:val="00047123"/>
    <w:rsid w:val="00047403"/>
    <w:rsid w:val="00055423"/>
    <w:rsid w:val="00065034"/>
    <w:rsid w:val="000E5BD0"/>
    <w:rsid w:val="00155405"/>
    <w:rsid w:val="001B2226"/>
    <w:rsid w:val="001D0CC2"/>
    <w:rsid w:val="001D6F6A"/>
    <w:rsid w:val="001E48FB"/>
    <w:rsid w:val="00207F5C"/>
    <w:rsid w:val="00227B12"/>
    <w:rsid w:val="002968A9"/>
    <w:rsid w:val="002C430B"/>
    <w:rsid w:val="003016E6"/>
    <w:rsid w:val="00307426"/>
    <w:rsid w:val="0031465B"/>
    <w:rsid w:val="00335128"/>
    <w:rsid w:val="003A42F3"/>
    <w:rsid w:val="003D010B"/>
    <w:rsid w:val="0041445A"/>
    <w:rsid w:val="004256FB"/>
    <w:rsid w:val="00503E28"/>
    <w:rsid w:val="005220A4"/>
    <w:rsid w:val="00530B0E"/>
    <w:rsid w:val="0053206D"/>
    <w:rsid w:val="00556184"/>
    <w:rsid w:val="005766F7"/>
    <w:rsid w:val="00583DC8"/>
    <w:rsid w:val="005E6533"/>
    <w:rsid w:val="006140B3"/>
    <w:rsid w:val="00622968"/>
    <w:rsid w:val="006A1BFC"/>
    <w:rsid w:val="006A2A74"/>
    <w:rsid w:val="006B326C"/>
    <w:rsid w:val="006E5E94"/>
    <w:rsid w:val="006E7B0F"/>
    <w:rsid w:val="006F1823"/>
    <w:rsid w:val="00721C0D"/>
    <w:rsid w:val="00734D22"/>
    <w:rsid w:val="007351DF"/>
    <w:rsid w:val="007850C9"/>
    <w:rsid w:val="007A6663"/>
    <w:rsid w:val="007B1250"/>
    <w:rsid w:val="007F73E8"/>
    <w:rsid w:val="0088005F"/>
    <w:rsid w:val="00892E90"/>
    <w:rsid w:val="008B0414"/>
    <w:rsid w:val="008B0996"/>
    <w:rsid w:val="008D0AAF"/>
    <w:rsid w:val="008D1A44"/>
    <w:rsid w:val="008F1D1B"/>
    <w:rsid w:val="0090286A"/>
    <w:rsid w:val="00A42B1B"/>
    <w:rsid w:val="00A524C6"/>
    <w:rsid w:val="00A730B4"/>
    <w:rsid w:val="00AA3C2A"/>
    <w:rsid w:val="00AB744F"/>
    <w:rsid w:val="00AC3444"/>
    <w:rsid w:val="00AD7F7E"/>
    <w:rsid w:val="00AF5048"/>
    <w:rsid w:val="00B06543"/>
    <w:rsid w:val="00B70F1C"/>
    <w:rsid w:val="00B75350"/>
    <w:rsid w:val="00B86743"/>
    <w:rsid w:val="00B96781"/>
    <w:rsid w:val="00B97542"/>
    <w:rsid w:val="00BC1BC6"/>
    <w:rsid w:val="00BD7469"/>
    <w:rsid w:val="00C209D8"/>
    <w:rsid w:val="00C34172"/>
    <w:rsid w:val="00C43996"/>
    <w:rsid w:val="00C50E81"/>
    <w:rsid w:val="00C63537"/>
    <w:rsid w:val="00CD3347"/>
    <w:rsid w:val="00D02096"/>
    <w:rsid w:val="00D13DA6"/>
    <w:rsid w:val="00D21000"/>
    <w:rsid w:val="00D414E1"/>
    <w:rsid w:val="00D74675"/>
    <w:rsid w:val="00DA0491"/>
    <w:rsid w:val="00DE3787"/>
    <w:rsid w:val="00E471C1"/>
    <w:rsid w:val="00E52B9A"/>
    <w:rsid w:val="00E7106A"/>
    <w:rsid w:val="00E82DD9"/>
    <w:rsid w:val="00EC1AA4"/>
    <w:rsid w:val="00F92D49"/>
    <w:rsid w:val="00FA210E"/>
    <w:rsid w:val="00FC0BAE"/>
    <w:rsid w:val="00FC5838"/>
    <w:rsid w:val="00FD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D60CFE"/>
  <w15:chartTrackingRefBased/>
  <w15:docId w15:val="{EE002215-6900-4914-8280-1912472E8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76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426"/>
    <w:pPr>
      <w:spacing w:line="240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07426"/>
    <w:pPr>
      <w:spacing w:line="240" w:lineRule="auto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622968"/>
    <w:pPr>
      <w:widowControl w:val="0"/>
      <w:tabs>
        <w:tab w:val="center" w:pos="4680"/>
        <w:tab w:val="right" w:pos="9360"/>
      </w:tabs>
      <w:autoSpaceDE w:val="0"/>
      <w:autoSpaceDN w:val="0"/>
      <w:ind w:firstLine="0"/>
      <w:jc w:val="left"/>
    </w:pPr>
    <w:rPr>
      <w:rFonts w:eastAsia="Times New Roman"/>
      <w:kern w:val="0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622968"/>
    <w:rPr>
      <w:rFonts w:ascii="Times New Roman" w:eastAsia="Times New Roman" w:hAnsi="Times New Roman" w:cs="Times New Roman"/>
      <w:kern w:val="0"/>
    </w:rPr>
  </w:style>
  <w:style w:type="paragraph" w:styleId="Footer">
    <w:name w:val="footer"/>
    <w:basedOn w:val="Normal"/>
    <w:link w:val="FooterChar"/>
    <w:uiPriority w:val="99"/>
    <w:unhideWhenUsed/>
    <w:rsid w:val="00622968"/>
    <w:pPr>
      <w:widowControl w:val="0"/>
      <w:tabs>
        <w:tab w:val="center" w:pos="4680"/>
        <w:tab w:val="right" w:pos="9360"/>
      </w:tabs>
      <w:autoSpaceDE w:val="0"/>
      <w:autoSpaceDN w:val="0"/>
      <w:ind w:firstLine="0"/>
      <w:jc w:val="left"/>
    </w:pPr>
    <w:rPr>
      <w:rFonts w:eastAsia="Times New Roman"/>
      <w:kern w:val="0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622968"/>
    <w:rPr>
      <w:rFonts w:ascii="Times New Roman" w:eastAsia="Times New Roman" w:hAnsi="Times New Roman" w:cs="Times New Roman"/>
      <w:kern w:val="0"/>
    </w:rPr>
  </w:style>
  <w:style w:type="paragraph" w:styleId="BodyText">
    <w:name w:val="Body Text"/>
    <w:basedOn w:val="Normal"/>
    <w:link w:val="BodyTextChar"/>
    <w:uiPriority w:val="99"/>
    <w:semiHidden/>
    <w:unhideWhenUsed/>
    <w:rsid w:val="00C50E8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50E81"/>
    <w:rPr>
      <w:rFonts w:ascii="Times New Roman" w:hAnsi="Times New Roman" w:cs="Times New Roman"/>
      <w:sz w:val="24"/>
    </w:rPr>
  </w:style>
  <w:style w:type="paragraph" w:styleId="ListParagraph">
    <w:name w:val="List Paragraph"/>
    <w:basedOn w:val="Normal"/>
    <w:uiPriority w:val="34"/>
    <w:qFormat/>
    <w:rsid w:val="002968A9"/>
    <w:pPr>
      <w:spacing w:after="160" w:line="278" w:lineRule="auto"/>
      <w:ind w:left="720" w:firstLine="0"/>
      <w:contextualSpacing/>
      <w:jc w:val="left"/>
    </w:pPr>
    <w:rPr>
      <w:rFonts w:ascii="Calibri" w:hAnsi="Calibr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4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</dc:creator>
  <cp:keywords/>
  <dc:description/>
  <cp:lastModifiedBy>VLADA</cp:lastModifiedBy>
  <cp:revision>33</cp:revision>
  <dcterms:created xsi:type="dcterms:W3CDTF">2024-04-11T08:56:00Z</dcterms:created>
  <dcterms:modified xsi:type="dcterms:W3CDTF">2026-10-12T07:52:00Z</dcterms:modified>
</cp:coreProperties>
</file>